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</w:rPr>
      </w:pPr>
      <w:r>
        <w:rPr>
          <w:b/>
          <w:bCs/>
        </w:rPr>
        <w:t>-projekt-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UCHWAŁA NR  ……/….../2024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RADY GMINY ŚWIĘCIECHOWA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 dnia …………….. 2024 r.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w sprawie miejscowego planu zagospodarowania przestrzennego</w:t>
        <w:br/>
        <w:t>dla działki nr ewid. 182/4 obr. Krzycko Małe, gmina Święciechowa</w:t>
        <w:br/>
      </w:r>
    </w:p>
    <w:p>
      <w:pPr>
        <w:pStyle w:val="Normal"/>
        <w:ind w:firstLine="426"/>
        <w:jc w:val="both"/>
        <w:rPr/>
      </w:pPr>
      <w:r>
        <w:rPr/>
        <w:t>Na podstawie art. 18 ust. 2 pkt 5 ustawy z dnia 8 marca 1990 r. o samorządzie gminnym (t.j. Dz. U. z 2024 r. poz. 609</w:t>
      </w:r>
      <w:r>
        <w:rPr>
          <w:color w:val="auto"/>
        </w:rPr>
        <w:t>) a</w:t>
      </w:r>
      <w:r>
        <w:rPr/>
        <w:t>rt. 20 ust. 1, art. 29 i art. 36 ust. 4 ustawy z dnia 27 marca 2003 r. o planowaniu i zagospodarowaniu przestrzennym (t.j. Dz. U. z 2023 r. poz. 977 ze zm)</w:t>
      </w:r>
      <w:r>
        <w:rPr>
          <w:b/>
          <w:bCs/>
        </w:rPr>
        <w:t xml:space="preserve"> w związku z art. 67 ust. 3 Ustawy z dnia 7 lipca 2023 r. o zmianie ustawy o planowaniu i zagospodarowaniu przestrzennym oraz niektórych innych ustaw (Dz. U. z 2023r. poz. 1688</w:t>
      </w:r>
      <w:r>
        <w:rPr/>
        <w:t xml:space="preserve">) oraz w związku z uchwałą Nr XLIII/395/2022 Rady Gminy Święciechowa z dnia 26 kwietnia 2022 r. w sprawie przystąpienia do sporządzenia miejscowego planu zagospodarowania przestrzennego dla działki nr ewid. 182/4 obr. Krzycko Małe, gmina Święciechowa, po stwierdzeniu, że plan stanowiący przedmiot niniejszej uchwały nie narusza ustaleń Studium uwarunkowań i  kierunków zagospodarowania przestrzennego Gminy Święciechowa (przyjętego uchwałą Nr  </w:t>
      </w:r>
      <w:r>
        <w:rPr>
          <w:sz w:val="24"/>
        </w:rPr>
        <w:t xml:space="preserve">XXXV/263/2017 Rady Gminy Święciechowa z dnia 26 października 2017 r. i zmienionego Uchwałami Nr </w:t>
      </w:r>
      <w:r>
        <w:rPr/>
        <w:t>XXI/190/2020 Rady Gminy Święciechowa z dnia 23 lipca 2020 r. i Nr LXXI/617/2024 Rady Gminy Święciechowa z dnia 26 marca 2024 r.), uchwala się, co następuje: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Rozdział 1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Przepisy ogólne</w:t>
      </w:r>
    </w:p>
    <w:p>
      <w:pPr>
        <w:pStyle w:val="Normal"/>
        <w:jc w:val="center"/>
        <w:rPr/>
      </w:pPr>
      <w:r>
        <w:rPr/>
      </w:r>
    </w:p>
    <w:p>
      <w:pPr>
        <w:pStyle w:val="Normal"/>
        <w:ind w:hanging="645" w:left="645"/>
        <w:jc w:val="both"/>
        <w:rPr/>
      </w:pPr>
      <w:r>
        <w:rPr>
          <w:b/>
          <w:bCs/>
        </w:rPr>
        <w:t>§1.</w:t>
      </w:r>
      <w:r>
        <w:rPr/>
        <w:t>1.</w:t>
        <w:tab/>
        <w:t>Uchwala się m</w:t>
      </w:r>
      <w:r>
        <w:rPr>
          <w:shd w:fill="auto" w:val="clear"/>
        </w:rPr>
        <w:t>iejscowy plan zagospodarowania przestrzennego dla działki nr ewid. 182/4 obr. Krzycko Małe, gmina Święciechowa, zwany dalej planem.</w:t>
      </w:r>
    </w:p>
    <w:p>
      <w:pPr>
        <w:pStyle w:val="Normal"/>
        <w:numPr>
          <w:ilvl w:val="0"/>
          <w:numId w:val="12"/>
        </w:numPr>
        <w:suppressAutoHyphens w:val="false"/>
        <w:overflowPunct w:val="true"/>
        <w:jc w:val="both"/>
        <w:rPr>
          <w:highlight w:val="none"/>
          <w:shd w:fill="auto" w:val="clear"/>
        </w:rPr>
      </w:pPr>
      <w:r>
        <w:rPr>
          <w:shd w:fill="auto" w:val="clear"/>
        </w:rPr>
        <w:t>Obszar objęty planem położony jest pomiędzy drogą powiatową 3903P prowadzącą w stronę miejscowości Krzycko Małe, a Jeziorem Krzyckim, zgodnie z granicami określonymi na części graficznej planu</w:t>
      </w:r>
      <w:bookmarkStart w:id="0" w:name="_Ref494361065"/>
      <w:bookmarkEnd w:id="0"/>
      <w:r>
        <w:rPr>
          <w:shd w:fill="auto" w:val="clear"/>
        </w:rPr>
        <w:t>, o której mowa w § 2 pkt 1.</w:t>
      </w:r>
      <w:bookmarkStart w:id="1" w:name="_Ref494361065_kopia_1"/>
      <w:bookmarkEnd w:id="1"/>
    </w:p>
    <w:p>
      <w:pPr>
        <w:pStyle w:val="Normal"/>
        <w:jc w:val="center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Tekstpodstawowy21"/>
        <w:tabs>
          <w:tab w:val="clear" w:pos="709"/>
          <w:tab w:val="left" w:pos="360" w:leader="none"/>
          <w:tab w:val="left" w:pos="567" w:leader="none"/>
          <w:tab w:val="left" w:pos="793" w:leader="none"/>
        </w:tabs>
        <w:ind w:hanging="180" w:left="180"/>
        <w:rPr>
          <w:highlight w:val="none"/>
          <w:shd w:fill="auto" w:val="clear"/>
        </w:rPr>
      </w:pPr>
      <w:r>
        <w:rPr>
          <w:b/>
          <w:bCs/>
          <w:shd w:fill="auto" w:val="clear"/>
        </w:rPr>
        <w:t>§2.</w:t>
        <w:tab/>
      </w:r>
      <w:r>
        <w:rPr>
          <w:shd w:fill="auto" w:val="clear"/>
        </w:rPr>
        <w:t>Załącznikami do niniejszej uchwały są:</w:t>
      </w:r>
    </w:p>
    <w:p>
      <w:pPr>
        <w:pStyle w:val="Normal"/>
        <w:numPr>
          <w:ilvl w:val="0"/>
          <w:numId w:val="16"/>
        </w:numPr>
        <w:tabs>
          <w:tab w:val="clear" w:pos="709"/>
          <w:tab w:val="left" w:pos="0" w:leader="none"/>
          <w:tab w:val="left" w:pos="1134" w:leader="none"/>
        </w:tabs>
        <w:suppressAutoHyphens w:val="false"/>
        <w:overflowPunct w:val="true"/>
        <w:ind w:hanging="425" w:left="1134"/>
        <w:rPr>
          <w:highlight w:val="none"/>
          <w:shd w:fill="auto" w:val="clear"/>
        </w:rPr>
      </w:pPr>
      <w:r>
        <w:rPr>
          <w:shd w:fill="auto" w:val="clear"/>
        </w:rPr>
        <w:t>cześć graficzna planu w skali 1:2000, stanowiący integralną część planu i załącznik nr 1 do niniejszej uchwały,  zwana dalej rysunkiem planu;</w:t>
      </w:r>
    </w:p>
    <w:p>
      <w:pPr>
        <w:pStyle w:val="Normal"/>
        <w:numPr>
          <w:ilvl w:val="0"/>
          <w:numId w:val="16"/>
        </w:numPr>
        <w:tabs>
          <w:tab w:val="clear" w:pos="709"/>
          <w:tab w:val="left" w:pos="0" w:leader="none"/>
          <w:tab w:val="left" w:pos="1134" w:leader="none"/>
          <w:tab w:val="left" w:pos="2268" w:leader="none"/>
        </w:tabs>
        <w:suppressAutoHyphens w:val="false"/>
        <w:overflowPunct w:val="true"/>
        <w:ind w:hanging="425" w:left="1134"/>
        <w:jc w:val="both"/>
        <w:rPr>
          <w:highlight w:val="none"/>
          <w:shd w:fill="auto" w:val="clear"/>
        </w:rPr>
      </w:pPr>
      <w:r>
        <w:rPr>
          <w:shd w:fill="auto" w:val="clear"/>
        </w:rPr>
        <w:t>rozstrzygnięcie o sposobie rozpatrzenia uwag zgłoszonych do projektu planu, stanowiące załącznik nr 2 do niniejszej uchwały;</w:t>
      </w:r>
    </w:p>
    <w:p>
      <w:pPr>
        <w:pStyle w:val="Normal"/>
        <w:numPr>
          <w:ilvl w:val="0"/>
          <w:numId w:val="16"/>
        </w:numPr>
        <w:tabs>
          <w:tab w:val="clear" w:pos="709"/>
          <w:tab w:val="left" w:pos="0" w:leader="none"/>
          <w:tab w:val="left" w:pos="1134" w:leader="none"/>
          <w:tab w:val="left" w:pos="2268" w:leader="none"/>
        </w:tabs>
        <w:suppressAutoHyphens w:val="false"/>
        <w:overflowPunct w:val="true"/>
        <w:ind w:hanging="425" w:left="1134"/>
        <w:jc w:val="both"/>
        <w:rPr>
          <w:highlight w:val="none"/>
          <w:shd w:fill="auto" w:val="clear"/>
        </w:rPr>
      </w:pPr>
      <w:r>
        <w:rPr>
          <w:shd w:fill="auto" w:val="clear"/>
        </w:rPr>
        <w:t>rozstrzygnięcie o sposobie realizacji zapisanych w planie inwestycji z zakresu infrastruktury technicznej, które należą do zadań własnych gminy oraz zasadach ich finansowania, stanowiące załącznik nr 3 do niniejszej uchwały;</w:t>
      </w:r>
    </w:p>
    <w:p>
      <w:pPr>
        <w:pStyle w:val="Normal"/>
        <w:numPr>
          <w:ilvl w:val="0"/>
          <w:numId w:val="16"/>
        </w:numPr>
        <w:tabs>
          <w:tab w:val="clear" w:pos="709"/>
          <w:tab w:val="left" w:pos="0" w:leader="none"/>
          <w:tab w:val="left" w:pos="1134" w:leader="none"/>
          <w:tab w:val="left" w:pos="2268" w:leader="none"/>
        </w:tabs>
        <w:suppressAutoHyphens w:val="false"/>
        <w:overflowPunct w:val="true"/>
        <w:ind w:hanging="425" w:left="1134"/>
        <w:jc w:val="both"/>
        <w:rPr>
          <w:highlight w:val="none"/>
          <w:shd w:fill="auto" w:val="clear"/>
        </w:rPr>
      </w:pPr>
      <w:r>
        <w:rPr>
          <w:shd w:fill="auto" w:val="clear"/>
        </w:rPr>
        <w:t>dane przestrzenne utworzone do planu w postaci dokumentu elektronicznego GML,  stanowi</w:t>
      </w:r>
      <w:r>
        <w:rPr/>
        <w:t>ące załącznik Nr 4 do niniejszej uchwały.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0" w:leader="none"/>
          <w:tab w:val="left" w:pos="1134" w:leader="none"/>
          <w:tab w:val="left" w:pos="2268" w:leader="none"/>
        </w:tabs>
        <w:suppressAutoHyphens w:val="false"/>
        <w:overflowPunct w:val="true"/>
        <w:ind w:hanging="0" w:left="1134"/>
        <w:jc w:val="both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</w:r>
    </w:p>
    <w:p>
      <w:pPr>
        <w:pStyle w:val="Normal"/>
        <w:ind w:hanging="629" w:left="645"/>
        <w:jc w:val="both"/>
        <w:rPr>
          <w:highlight w:val="none"/>
          <w:shd w:fill="auto" w:val="clear"/>
        </w:rPr>
      </w:pPr>
      <w:r>
        <w:rPr>
          <w:b/>
          <w:bCs/>
          <w:shd w:fill="auto" w:val="clear"/>
        </w:rPr>
        <w:t>§3.</w:t>
      </w:r>
      <w:r>
        <w:rPr>
          <w:shd w:fill="auto" w:val="clear"/>
        </w:rPr>
        <w:t>1.</w:t>
      </w:r>
      <w:r>
        <w:rPr>
          <w:b/>
          <w:bCs/>
          <w:shd w:fill="auto" w:val="clear"/>
        </w:rPr>
        <w:tab/>
      </w:r>
      <w:r>
        <w:rPr>
          <w:shd w:fill="auto" w:val="clear"/>
        </w:rPr>
        <w:t>Następujące oznaczenia graficzne na rysunku planu są obowiązującymi ustaleniami planu:</w:t>
      </w:r>
    </w:p>
    <w:p>
      <w:pPr>
        <w:pStyle w:val="Normal"/>
        <w:numPr>
          <w:ilvl w:val="0"/>
          <w:numId w:val="4"/>
        </w:numPr>
        <w:ind w:hanging="360" w:left="1134"/>
        <w:jc w:val="both"/>
        <w:rPr>
          <w:highlight w:val="none"/>
          <w:shd w:fill="auto" w:val="clear"/>
        </w:rPr>
      </w:pPr>
      <w:r>
        <w:rPr>
          <w:shd w:fill="auto" w:val="clear"/>
        </w:rPr>
        <w:t>granice obszaru objętego planem miejscowym;</w:t>
      </w:r>
    </w:p>
    <w:p>
      <w:pPr>
        <w:pStyle w:val="Normal"/>
        <w:numPr>
          <w:ilvl w:val="0"/>
          <w:numId w:val="4"/>
        </w:numPr>
        <w:ind w:hanging="360" w:left="1134"/>
        <w:jc w:val="both"/>
        <w:rPr>
          <w:highlight w:val="none"/>
          <w:shd w:fill="auto" w:val="clear"/>
        </w:rPr>
      </w:pPr>
      <w:r>
        <w:rPr>
          <w:shd w:fill="auto" w:val="clear"/>
        </w:rPr>
        <w:t>linie rozgraniczające tereny o różnym przeznaczeniu lub różnych zasadach zagospodarowania;</w:t>
      </w:r>
    </w:p>
    <w:p>
      <w:pPr>
        <w:pStyle w:val="Normal"/>
        <w:numPr>
          <w:ilvl w:val="0"/>
          <w:numId w:val="4"/>
        </w:numPr>
        <w:ind w:hanging="360" w:left="1134"/>
        <w:jc w:val="both"/>
        <w:rPr>
          <w:highlight w:val="none"/>
          <w:shd w:fill="auto" w:val="clear"/>
        </w:rPr>
      </w:pPr>
      <w:r>
        <w:rPr>
          <w:shd w:fill="auto" w:val="clear"/>
        </w:rPr>
        <w:t>nieprzekraczalne linie zabudowy;</w:t>
      </w:r>
    </w:p>
    <w:p>
      <w:pPr>
        <w:pStyle w:val="Normal"/>
        <w:numPr>
          <w:ilvl w:val="0"/>
          <w:numId w:val="4"/>
        </w:numPr>
        <w:ind w:hanging="360" w:left="1134"/>
        <w:jc w:val="both"/>
        <w:rPr/>
      </w:pPr>
      <w:r>
        <w:rPr/>
        <w:t>oznaczenia i symbole określające przeznaczenie terenów wraz z wyróżniającymi numerami;</w:t>
      </w:r>
    </w:p>
    <w:p>
      <w:pPr>
        <w:pStyle w:val="Normal"/>
        <w:numPr>
          <w:ilvl w:val="0"/>
          <w:numId w:val="4"/>
        </w:numPr>
        <w:ind w:hanging="360" w:left="1134"/>
        <w:jc w:val="both"/>
        <w:rPr/>
      </w:pPr>
      <w:r>
        <w:rPr/>
        <w:t>pasy technologiczne od elektroenergetycznych linii wysokiego napięcia 110 kV</w:t>
        <w:br/>
        <w:t>i średniego napięcia 15 kV;</w:t>
      </w:r>
    </w:p>
    <w:p>
      <w:pPr>
        <w:pStyle w:val="Normal"/>
        <w:numPr>
          <w:ilvl w:val="0"/>
          <w:numId w:val="4"/>
        </w:numPr>
        <w:ind w:hanging="360" w:left="1134"/>
        <w:jc w:val="both"/>
        <w:rPr/>
      </w:pPr>
      <w:r>
        <w:rPr/>
        <w:t>strefa zieleni nadbrzeżnej.</w:t>
      </w:r>
    </w:p>
    <w:p>
      <w:pPr>
        <w:pStyle w:val="Normal"/>
        <w:numPr>
          <w:ilvl w:val="0"/>
          <w:numId w:val="19"/>
        </w:numPr>
        <w:suppressAutoHyphens w:val="false"/>
        <w:overflowPunct w:val="true"/>
        <w:jc w:val="both"/>
        <w:rPr/>
      </w:pPr>
      <w:r>
        <w:rPr/>
        <w:t>Linie rozgraniczające, o których mowa w ust. 1 pkt 2, wydzielają tereny, które oznaczono następującymi symbolami i nazwami przeznaczenia:</w:t>
      </w:r>
    </w:p>
    <w:p>
      <w:pPr>
        <w:pStyle w:val="Normal"/>
        <w:numPr>
          <w:ilvl w:val="0"/>
          <w:numId w:val="13"/>
        </w:numPr>
        <w:tabs>
          <w:tab w:val="clear" w:pos="709"/>
          <w:tab w:val="left" w:pos="1134" w:leader="none"/>
        </w:tabs>
        <w:suppressAutoHyphens w:val="false"/>
        <w:overflowPunct w:val="true"/>
        <w:ind w:hanging="425" w:left="1134"/>
        <w:rPr>
          <w:b/>
          <w:bCs/>
        </w:rPr>
      </w:pPr>
      <w:r>
        <w:rPr>
          <w:b/>
          <w:bCs/>
        </w:rPr>
        <w:t>US-UT-ZP</w:t>
      </w:r>
      <w:r>
        <w:rPr/>
        <w:t xml:space="preserve">– teren usług sportu i rekreacji lub usług turystyki lub zieleni urządzonej; </w:t>
      </w:r>
    </w:p>
    <w:p>
      <w:pPr>
        <w:pStyle w:val="Normal"/>
        <w:numPr>
          <w:ilvl w:val="0"/>
          <w:numId w:val="13"/>
        </w:numPr>
        <w:tabs>
          <w:tab w:val="clear" w:pos="709"/>
          <w:tab w:val="left" w:pos="1134" w:leader="none"/>
        </w:tabs>
        <w:suppressAutoHyphens w:val="false"/>
        <w:overflowPunct w:val="true"/>
        <w:ind w:hanging="425" w:left="1134"/>
        <w:rPr/>
      </w:pPr>
      <w:r>
        <w:rPr>
          <w:b/>
          <w:bCs/>
        </w:rPr>
        <w:t xml:space="preserve">US-KOP </w:t>
      </w:r>
      <w:r>
        <w:rPr/>
        <w:t>– teren usług sportu i rekreacji lub parkingu;</w:t>
      </w:r>
    </w:p>
    <w:p>
      <w:pPr>
        <w:pStyle w:val="Normal"/>
        <w:numPr>
          <w:ilvl w:val="0"/>
          <w:numId w:val="13"/>
        </w:numPr>
        <w:tabs>
          <w:tab w:val="clear" w:pos="709"/>
          <w:tab w:val="left" w:pos="1134" w:leader="none"/>
        </w:tabs>
        <w:suppressAutoHyphens w:val="false"/>
        <w:overflowPunct w:val="true"/>
        <w:ind w:hanging="425" w:left="1134"/>
        <w:rPr>
          <w:b/>
          <w:bCs/>
        </w:rPr>
      </w:pPr>
      <w:r>
        <w:rPr>
          <w:b/>
          <w:bCs/>
        </w:rPr>
        <w:t xml:space="preserve">KD </w:t>
      </w:r>
      <w:r>
        <w:rPr/>
        <w:t>– teren komunikacji drogowej publicznej.</w:t>
      </w:r>
    </w:p>
    <w:p>
      <w:pPr>
        <w:pStyle w:val="Normal"/>
        <w:numPr>
          <w:ilvl w:val="0"/>
          <w:numId w:val="19"/>
        </w:numPr>
        <w:suppressAutoHyphens w:val="false"/>
        <w:overflowPunct w:val="true"/>
        <w:jc w:val="both"/>
        <w:rPr/>
      </w:pPr>
      <w:r>
        <w:rPr/>
        <w:t>Następujące oznaczenia graficzne na rysunku planu wynikają z przepisów odrębnych:</w:t>
      </w:r>
    </w:p>
    <w:p>
      <w:pPr>
        <w:pStyle w:val="Normal"/>
        <w:numPr>
          <w:ilvl w:val="1"/>
          <w:numId w:val="19"/>
        </w:numPr>
        <w:suppressAutoHyphens w:val="false"/>
        <w:overflowPunct w:val="true"/>
        <w:jc w:val="both"/>
        <w:rPr/>
      </w:pPr>
      <w:r>
        <w:rPr/>
        <w:t>granica strefy ochrony konserwatorskiej układu architektoniczno-przestrzennego miejscowości Krzycko Małe, wpisanej do rejestru zabytków,</w:t>
      </w:r>
    </w:p>
    <w:p>
      <w:pPr>
        <w:pStyle w:val="Normal"/>
        <w:numPr>
          <w:ilvl w:val="1"/>
          <w:numId w:val="19"/>
        </w:numPr>
        <w:suppressAutoHyphens w:val="false"/>
        <w:overflowPunct w:val="true"/>
        <w:jc w:val="both"/>
        <w:rPr/>
      </w:pPr>
      <w:r>
        <w:rPr/>
        <w:t>granica strefy ochrony sanitarnej od cmentarza,</w:t>
      </w:r>
    </w:p>
    <w:p>
      <w:pPr>
        <w:pStyle w:val="Normal"/>
        <w:numPr>
          <w:ilvl w:val="1"/>
          <w:numId w:val="19"/>
        </w:numPr>
        <w:suppressAutoHyphens w:val="false"/>
        <w:overflowPunct w:val="true"/>
        <w:jc w:val="both"/>
        <w:rPr/>
      </w:pPr>
      <w:r>
        <w:rPr/>
        <w:t>granica Obszaru Chronionego Krajobrazu „Przemęcko-Wschowski i kompleks leśny Włoszakowice”.</w:t>
      </w:r>
    </w:p>
    <w:p>
      <w:pPr>
        <w:pStyle w:val="Normal"/>
        <w:numPr>
          <w:ilvl w:val="0"/>
          <w:numId w:val="19"/>
        </w:numPr>
        <w:suppressAutoHyphens w:val="false"/>
        <w:overflowPunct w:val="true"/>
        <w:jc w:val="both"/>
        <w:rPr/>
      </w:pPr>
      <w:r>
        <w:rPr/>
        <w:t>Pozostałe oznaczenia graficzne przedstawione na rysunku planu, posiadają znaczenie informacyjne.</w:t>
      </w:r>
    </w:p>
    <w:p>
      <w:pPr>
        <w:pStyle w:val="Normal"/>
        <w:jc w:val="both"/>
        <w:rPr/>
      </w:pPr>
      <w:r>
        <w:rPr/>
      </w:r>
    </w:p>
    <w:p>
      <w:pPr>
        <w:pStyle w:val="Tekstpodstawowy31"/>
        <w:rPr/>
      </w:pPr>
      <w:r>
        <w:rPr>
          <w:b/>
          <w:bCs/>
        </w:rPr>
        <w:t xml:space="preserve">§4. </w:t>
      </w:r>
      <w:r>
        <w:rPr/>
        <w:t>Ilekroć w niniejszej uchwale jest mowa o: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1" w:leader="none"/>
        </w:tabs>
        <w:ind w:hanging="425" w:left="850"/>
        <w:jc w:val="both"/>
        <w:rPr/>
      </w:pPr>
      <w:r>
        <w:rPr>
          <w:b/>
          <w:bCs/>
        </w:rPr>
        <w:t>liniach rozgraniczających</w:t>
      </w:r>
      <w:r>
        <w:rPr/>
        <w:t xml:space="preserve"> - należy przez to rozumieć linie rozdzielające tereny o różnym przeznaczeniu lub różnych zasadach zagospodarowania;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1" w:leader="none"/>
        </w:tabs>
        <w:ind w:hanging="425" w:left="850"/>
        <w:jc w:val="both"/>
        <w:rPr/>
      </w:pPr>
      <w:r>
        <w:rPr>
          <w:b/>
          <w:bCs/>
        </w:rPr>
        <w:t>powierzchni całkowitej zabudowy</w:t>
      </w:r>
      <w:r>
        <w:rPr/>
        <w:t xml:space="preserve"> - należy przez to rozumieć sumę powierzchni całkowitych wszystkich kondygnacji budynków określonych po obrysie zewnętrznym budynku (wyznaczonym skrajnym obrysem ścian zewnętrznych), z tym że</w:t>
      </w:r>
      <w:r>
        <w:rPr>
          <w:b/>
          <w:bCs/>
        </w:rPr>
        <w:t xml:space="preserve"> do powierzchni całkowitej zabudowy nie wlicza się</w:t>
      </w:r>
      <w:r>
        <w:rPr/>
        <w:t xml:space="preserve"> powierzchni elementów drugorzędnych jak: schodów zewnętrznych, ramp zewnętrznych;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1" w:leader="none"/>
        </w:tabs>
        <w:ind w:hanging="425" w:left="850"/>
        <w:jc w:val="both"/>
        <w:rPr/>
      </w:pPr>
      <w:r>
        <w:rPr>
          <w:b/>
          <w:bCs/>
        </w:rPr>
        <w:t>powierzchni zabudowy</w:t>
      </w:r>
      <w:r>
        <w:rPr/>
        <w:t xml:space="preserve"> - należy przez to rozumieć powierzchnię terenu zajętą przez budynek w stanie wykończonym, wyznaczony przez rzut pionowy zewnętrznych krawędzi budynku (określony skrajnym obrysem ścian zewnętrznych) na powierzchnię terenu, z tym że </w:t>
      </w:r>
      <w:r>
        <w:rPr>
          <w:b/>
          <w:bCs/>
        </w:rPr>
        <w:t>do powierzchni zabudowy nie wlicza się</w:t>
      </w:r>
      <w:r>
        <w:rPr/>
        <w:t xml:space="preserve"> powierzchni budynków ani ich części nie wystających ponad powierzchnię terenu, powierzchni elementów drugorzędnych takich jak: schodów zewnętrznych, ramp zewnętrznych;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1" w:leader="none"/>
        </w:tabs>
        <w:ind w:hanging="425" w:left="850"/>
        <w:jc w:val="both"/>
        <w:rPr/>
      </w:pPr>
      <w:r>
        <w:rPr>
          <w:b/>
          <w:bCs/>
        </w:rPr>
        <w:t>przeznaczeniu</w:t>
      </w:r>
      <w:r>
        <w:rPr/>
        <w:t xml:space="preserve"> - należy przez to rozumieć przeznaczenie, które wskutek realizacji ustaleń planu stanowić będzie przeważającą formę użytkowania terenu lub obiektów budowlanych; </w:t>
      </w:r>
      <w:r>
        <w:rPr>
          <w:b/>
          <w:bCs/>
        </w:rPr>
        <w:t>jednocześnie w ramach określonego przeznaczenia dopuszcza się</w:t>
      </w:r>
      <w:r>
        <w:rPr/>
        <w:t xml:space="preserve"> obiekty i urządzenia towarzyszące, które zapewniają możliwość użytkowania terenu i obiektów zgodnie z przeznaczeniem, takie jak: dojścia, dojazdy, miejsca parkingowe, urządzenia budowlane;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1" w:leader="none"/>
        </w:tabs>
        <w:ind w:hanging="425" w:left="850"/>
        <w:jc w:val="both"/>
        <w:rPr/>
      </w:pPr>
      <w:r>
        <w:rPr>
          <w:b/>
          <w:bCs/>
        </w:rPr>
        <w:t>nieprzekraczalnej linii zabudowy</w:t>
      </w:r>
      <w:r>
        <w:rPr/>
        <w:t xml:space="preserve"> - należy przez to rozumieć linię określającą maksymalny zasięg usytuowania na terenie wszelkich dopuszczonych w planie nadziemnych części budynków, z zastrzeżeniem lit. a i b oraz budowli w rozumieniu przepisów prawa budowlanego, chyba że ustalenia szczegółowe planu stanowią inaczej, jednocześnie:</w:t>
        <w:tab/>
      </w:r>
    </w:p>
    <w:p>
      <w:pPr>
        <w:pStyle w:val="Normal"/>
        <w:numPr>
          <w:ilvl w:val="1"/>
          <w:numId w:val="2"/>
        </w:numPr>
        <w:tabs>
          <w:tab w:val="clear" w:pos="709"/>
          <w:tab w:val="left" w:pos="851" w:leader="none"/>
        </w:tabs>
        <w:ind w:hanging="283" w:left="1134"/>
        <w:jc w:val="both"/>
        <w:rPr/>
      </w:pPr>
      <w:r>
        <w:rPr/>
        <w:t>dopuszcza się części budynku takie jak: okapy, gzymsy, balkony, tarasy, werandy, wykusze, zadaszenia nad wejściami do budynków, elementy odwodnienia, zdobienia elewacji wykraczające maksymalnie o 1,5 m poza nieprzekraczalną linię zabudowy;</w:t>
      </w:r>
    </w:p>
    <w:p>
      <w:pPr>
        <w:pStyle w:val="Normal"/>
        <w:numPr>
          <w:ilvl w:val="1"/>
          <w:numId w:val="2"/>
        </w:numPr>
        <w:tabs>
          <w:tab w:val="clear" w:pos="709"/>
          <w:tab w:val="left" w:pos="851" w:leader="none"/>
        </w:tabs>
        <w:ind w:hanging="283" w:left="1134"/>
        <w:jc w:val="both"/>
        <w:rPr/>
      </w:pPr>
      <w:r>
        <w:rPr/>
        <w:t>dopuszcza się części budynku takie jak: schody zewnętrzne i pochylnie dla niepełnosprawnych wykraczające maksymalnie o 3 m poza nieprzekraczalną linię zabudowy;</w:t>
      </w:r>
    </w:p>
    <w:p>
      <w:pPr>
        <w:pStyle w:val="Normal"/>
        <w:numPr>
          <w:ilvl w:val="1"/>
          <w:numId w:val="2"/>
        </w:numPr>
        <w:tabs>
          <w:tab w:val="clear" w:pos="709"/>
          <w:tab w:val="left" w:pos="851" w:leader="none"/>
        </w:tabs>
        <w:ind w:hanging="283" w:left="1134"/>
        <w:jc w:val="both"/>
        <w:rPr/>
      </w:pPr>
      <w:r>
        <w:rPr/>
        <w:t>nieprzekraczalne linie zabudowy nie ograniczają lokalizacji takich obiektów jak: urządzenia budowlane, drogi, dojścia i dojazdy, parkingi terenowe, obiekty liniowe sieci technicznej wraz z niezbędnymi urządzeniami towarzyszącymi takimi jak: kontenerowe i słupowe stacje transformatorowe czy przepompownie ścieków;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1" w:leader="none"/>
        </w:tabs>
        <w:ind w:hanging="425" w:left="850"/>
        <w:jc w:val="both"/>
        <w:rPr/>
      </w:pPr>
      <w:r>
        <w:rPr>
          <w:b/>
          <w:bCs/>
        </w:rPr>
        <w:t>rysunku planu</w:t>
      </w:r>
      <w:r>
        <w:rPr/>
        <w:t xml:space="preserve"> </w:t>
      </w:r>
      <w:r>
        <w:rPr>
          <w:b/>
          <w:bCs/>
        </w:rPr>
        <w:t>-</w:t>
      </w:r>
      <w:r>
        <w:rPr/>
        <w:t xml:space="preserve"> należy przez to rozumieć rysunek planu w skali 1:2000 stanowiący integralną część planu i załącznik nr 1 do niniejszej uchwały;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51" w:leader="none"/>
        </w:tabs>
        <w:ind w:hanging="425" w:left="850"/>
        <w:jc w:val="both"/>
        <w:rPr/>
      </w:pPr>
      <w:r>
        <w:rPr>
          <w:b/>
          <w:bCs/>
        </w:rPr>
        <w:t>terenie</w:t>
      </w:r>
      <w:r>
        <w:rPr/>
        <w:t xml:space="preserve"> </w:t>
      </w:r>
      <w:r>
        <w:rPr>
          <w:b/>
          <w:bCs/>
        </w:rPr>
        <w:t xml:space="preserve">– </w:t>
      </w:r>
      <w:r>
        <w:rPr/>
        <w:t>należy przez to rozumieć teren o określonym przeznaczeniu i zasadach zagospodarowania, ograniczony liniami rozgraniczającymi i oznaczony na rysunku planu symbolem.</w:t>
      </w:r>
    </w:p>
    <w:p>
      <w:pPr>
        <w:pStyle w:val="Normal"/>
        <w:ind w:hanging="629" w:left="645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ind w:hanging="629" w:left="645"/>
        <w:jc w:val="both"/>
        <w:rPr/>
      </w:pPr>
      <w:r>
        <w:rPr>
          <w:b/>
          <w:bCs/>
        </w:rPr>
        <w:t>§5.</w:t>
      </w:r>
      <w:r>
        <w:rPr/>
        <w:t xml:space="preserve"> W planie nie określa się: </w:t>
      </w:r>
    </w:p>
    <w:p>
      <w:pPr>
        <w:pStyle w:val="Normal"/>
        <w:numPr>
          <w:ilvl w:val="0"/>
          <w:numId w:val="5"/>
        </w:numPr>
        <w:tabs>
          <w:tab w:val="clear" w:pos="709"/>
          <w:tab w:val="left" w:pos="851" w:leader="none"/>
        </w:tabs>
        <w:ind w:hanging="357" w:left="924"/>
        <w:jc w:val="both"/>
        <w:rPr/>
      </w:pPr>
      <w:r>
        <w:rPr/>
        <w:t xml:space="preserve">zasad ochrony dóbr kultury współczesnej - ze względu na brak obiektów i terenów wymagających takiego ustalenia; </w:t>
      </w:r>
    </w:p>
    <w:p>
      <w:pPr>
        <w:pStyle w:val="Normal"/>
        <w:numPr>
          <w:ilvl w:val="0"/>
          <w:numId w:val="5"/>
        </w:numPr>
        <w:tabs>
          <w:tab w:val="clear" w:pos="709"/>
          <w:tab w:val="left" w:pos="851" w:leader="none"/>
        </w:tabs>
        <w:ind w:hanging="357" w:left="924"/>
        <w:jc w:val="both"/>
        <w:rPr/>
      </w:pPr>
      <w:r>
        <w:rPr>
          <w:highlight w:val="white"/>
        </w:rPr>
        <w:t xml:space="preserve">granic i sposobów </w:t>
      </w:r>
      <w:r>
        <w:rPr/>
        <w:t xml:space="preserve">zagospodarowania terenów </w:t>
      </w:r>
      <w:r>
        <w:rPr>
          <w:highlight w:val="white"/>
        </w:rPr>
        <w:t>górniczych, a także obszarów szczególnego zagrożenia powodzią, obszarów osuwania się mas ziemnych, krajobrazów priorytetowych określonych w audycie krajobrazowym oraz w planie zagospodarowania przestrzennego województwa - ze względu na brak obiektów i  terenów wymagających takiego ustalenia</w:t>
      </w:r>
      <w:r>
        <w:rPr/>
        <w:t>;</w:t>
      </w:r>
    </w:p>
    <w:p>
      <w:pPr>
        <w:pStyle w:val="Normal"/>
        <w:numPr>
          <w:ilvl w:val="0"/>
          <w:numId w:val="5"/>
        </w:numPr>
        <w:tabs>
          <w:tab w:val="clear" w:pos="709"/>
          <w:tab w:val="left" w:pos="851" w:leader="none"/>
        </w:tabs>
        <w:ind w:hanging="357" w:left="924"/>
        <w:jc w:val="both"/>
        <w:rPr/>
      </w:pPr>
      <w:r>
        <w:rPr/>
        <w:t>sposobu i terminu tymczasowego zagospodarowania, urządzenia i użytkowania terenów - ze względu na brak terenów wymagających takiego ustalenia.</w:t>
      </w:r>
    </w:p>
    <w:p>
      <w:pPr>
        <w:pStyle w:val="Normal"/>
        <w:tabs>
          <w:tab w:val="clear" w:pos="709"/>
          <w:tab w:val="left" w:pos="851" w:leader="none"/>
        </w:tabs>
        <w:jc w:val="center"/>
        <w:rPr/>
      </w:pPr>
      <w:r>
        <w:rPr/>
      </w:r>
    </w:p>
    <w:p>
      <w:pPr>
        <w:pStyle w:val="Normal"/>
        <w:tabs>
          <w:tab w:val="clear" w:pos="709"/>
          <w:tab w:val="left" w:pos="851" w:leader="none"/>
        </w:tabs>
        <w:jc w:val="center"/>
        <w:rPr/>
      </w:pPr>
      <w:r>
        <w:rPr/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Rozdział 2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Wspólne przepisy szczegółowe dla obszaru objętego planem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ind w:hanging="643" w:left="709"/>
        <w:jc w:val="both"/>
        <w:rPr/>
      </w:pPr>
      <w:r>
        <w:rPr>
          <w:b/>
          <w:bCs/>
        </w:rPr>
        <w:t>§6.</w:t>
      </w:r>
      <w:r>
        <w:rPr/>
        <w:t>1.</w:t>
        <w:tab/>
        <w:t>W granicach całego obszaru objętego planem, dopuszcza się zieleń towarzyszącą, małą architekturę, urządzenia służące retencji wód opadowych i roztopowych.</w:t>
      </w:r>
    </w:p>
    <w:p>
      <w:pPr>
        <w:pStyle w:val="Normal"/>
        <w:numPr>
          <w:ilvl w:val="0"/>
          <w:numId w:val="15"/>
        </w:numPr>
        <w:jc w:val="both"/>
        <w:rPr/>
      </w:pPr>
      <w:r>
        <w:rPr/>
        <w:t>W granicach całego obszaru objętego planem, dopuszcza się, rozdzielcze sieci infrastruktury technicznej wraz z urządzeniami towarzyszącymi takimi jak: stacje transformatorowe, przepompownie ścieków, zgodnie z ustaleniami zawartymi w rozdziale 4.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ind w:hanging="629" w:left="645"/>
        <w:jc w:val="both"/>
        <w:rPr/>
      </w:pPr>
      <w:r>
        <w:rPr>
          <w:b/>
          <w:bCs/>
        </w:rPr>
        <w:t>§7.</w:t>
      </w:r>
      <w:r>
        <w:rPr/>
        <w:tab/>
        <w:t>Ustala się następujące zasady ochrony środowiska i przyrody, a także ochrony i  kształtowania krajobrazu:</w:t>
      </w:r>
    </w:p>
    <w:p>
      <w:pPr>
        <w:pStyle w:val="Normal"/>
        <w:numPr>
          <w:ilvl w:val="1"/>
          <w:numId w:val="3"/>
        </w:numPr>
        <w:tabs>
          <w:tab w:val="clear" w:pos="709"/>
          <w:tab w:val="left" w:pos="567" w:leader="none"/>
        </w:tabs>
        <w:jc w:val="both"/>
        <w:rPr/>
      </w:pPr>
      <w:r>
        <w:rPr/>
        <w:t>obszar objęty planem położony jest w granicach Obszaru Chronionego Krajobrazu „Przemęcko-Wschowski i kompleks leśny Włoszakowice” – obowiązują ustalenia zawarte w przepisach odrębnych, w tym ograniczenia dotyczące przeznaczenia terenów i zasad ich zagospodarowania i zabudowy;</w:t>
      </w:r>
    </w:p>
    <w:p>
      <w:pPr>
        <w:pStyle w:val="Normal"/>
        <w:numPr>
          <w:ilvl w:val="1"/>
          <w:numId w:val="3"/>
        </w:numPr>
        <w:tabs>
          <w:tab w:val="clear" w:pos="709"/>
          <w:tab w:val="left" w:pos="567" w:leader="none"/>
        </w:tabs>
        <w:jc w:val="both"/>
        <w:rPr/>
      </w:pPr>
      <w:r>
        <w:rPr/>
        <w:t xml:space="preserve">obszar objęty planem położony jest w zasięgu Głównego Zbiornika Wód Podziemnych nr 305 „Zbiornik między morenowy Leszno” – ustala się konieczność należytego zabezpieczenia środowiska gruntowo-wodnego przed zanieczyszczeniami zgodnie z ustaleniami, o których mowa w </w:t>
      </w:r>
      <w:r>
        <w:rPr>
          <w:b/>
          <w:bCs/>
        </w:rPr>
        <w:t>§ 18</w:t>
      </w:r>
      <w:r>
        <w:rPr/>
        <w:t>;</w:t>
      </w:r>
    </w:p>
    <w:p>
      <w:pPr>
        <w:pStyle w:val="Normal"/>
        <w:numPr>
          <w:ilvl w:val="1"/>
          <w:numId w:val="3"/>
        </w:numPr>
        <w:tabs>
          <w:tab w:val="clear" w:pos="709"/>
          <w:tab w:val="left" w:pos="567" w:leader="none"/>
        </w:tabs>
        <w:jc w:val="both"/>
        <w:rPr/>
      </w:pPr>
      <w:r>
        <w:rPr/>
        <w:t>powierzchnie niezabudowane i nieutwardzone stanowiące powierzchnie biologicznie czynne, należy zagospodarowywać poprzez zieleń oraz urządzenia służące retencji wód opadowych i roztopowych;</w:t>
      </w:r>
    </w:p>
    <w:p>
      <w:pPr>
        <w:pStyle w:val="Normal"/>
        <w:numPr>
          <w:ilvl w:val="1"/>
          <w:numId w:val="3"/>
        </w:numPr>
        <w:tabs>
          <w:tab w:val="clear" w:pos="709"/>
          <w:tab w:val="left" w:pos="567" w:leader="none"/>
        </w:tabs>
        <w:jc w:val="both"/>
        <w:rPr/>
      </w:pPr>
      <w:r>
        <w:rPr>
          <w:color w:val="000000"/>
        </w:rPr>
        <w:t xml:space="preserve">na terenach oznaczonych na rysunku planu symbolami </w:t>
      </w:r>
      <w:r>
        <w:rPr>
          <w:b/>
          <w:bCs/>
          <w:color w:val="000000"/>
        </w:rPr>
        <w:t>US-UT-ZP i US-KOP</w:t>
      </w:r>
      <w:r>
        <w:rPr>
          <w:color w:val="000000"/>
        </w:rPr>
        <w:t xml:space="preserve">, </w:t>
      </w:r>
      <w:r>
        <w:rPr/>
        <w:t>obowiązują standardy akustyczne określone przepisami odrębnymi dotyczącymi dopuszczalnych poziomów hałasu w środowisku</w:t>
      </w:r>
      <w:r>
        <w:rPr>
          <w:color w:val="000000"/>
        </w:rPr>
        <w:t xml:space="preserve"> jak dla terenów rekreacyjno-wypoczynkowych.</w:t>
      </w:r>
    </w:p>
    <w:p>
      <w:pPr>
        <w:pStyle w:val="Normal"/>
        <w:ind w:left="1418"/>
        <w:jc w:val="both"/>
        <w:rPr/>
      </w:pPr>
      <w:r>
        <w:rPr/>
      </w:r>
    </w:p>
    <w:p>
      <w:pPr>
        <w:pStyle w:val="Normal"/>
        <w:ind w:hanging="629" w:left="645"/>
        <w:jc w:val="both"/>
        <w:rPr/>
      </w:pPr>
      <w:r>
        <w:rPr>
          <w:b/>
          <w:bCs/>
        </w:rPr>
        <w:t>§8.</w:t>
      </w:r>
      <w:r>
        <w:rPr/>
        <w:t>1.</w:t>
        <w:tab/>
        <w:t>Ustala się następujące zasady o</w:t>
      </w:r>
      <w:r>
        <w:rPr>
          <w:color w:val="333333"/>
          <w:shd w:fill="FFFFFF" w:val="clear"/>
        </w:rPr>
        <w:t xml:space="preserve">chrony dziedzictwa kulturowego i zabytków, w tym </w:t>
      </w:r>
      <w:r>
        <w:rPr/>
        <w:t>krajobrazów kulturowych:</w:t>
      </w:r>
    </w:p>
    <w:p>
      <w:pPr>
        <w:pStyle w:val="Normal"/>
        <w:numPr>
          <w:ilvl w:val="1"/>
          <w:numId w:val="21"/>
        </w:numPr>
        <w:tabs>
          <w:tab w:val="clear" w:pos="709"/>
          <w:tab w:val="left" w:pos="567" w:leader="none"/>
        </w:tabs>
        <w:jc w:val="both"/>
        <w:rPr/>
      </w:pPr>
      <w:r>
        <w:rPr/>
        <w:t>obszar objęty planem położony jest w strefie ochrony konserwatorskiej krajobrazu kulturowego wokół Jeziora Krzyckiego;</w:t>
      </w:r>
    </w:p>
    <w:p>
      <w:pPr>
        <w:pStyle w:val="Normal"/>
        <w:numPr>
          <w:ilvl w:val="1"/>
          <w:numId w:val="21"/>
        </w:numPr>
        <w:tabs>
          <w:tab w:val="clear" w:pos="709"/>
          <w:tab w:val="left" w:pos="567" w:leader="none"/>
        </w:tabs>
        <w:jc w:val="both"/>
        <w:rPr/>
      </w:pPr>
      <w:r>
        <w:rPr/>
        <w:t>obszar objęty planem położony jest częściowo - zgodnie z oznaczeniem przyjętym na rysunku planu - w strefie ochrony konserwatorskiej układu architektoniczno-przestrzennego miejscowości Krzycko Małe.</w:t>
      </w:r>
    </w:p>
    <w:p>
      <w:pPr>
        <w:pStyle w:val="Normal"/>
        <w:numPr>
          <w:ilvl w:val="0"/>
          <w:numId w:val="21"/>
        </w:numPr>
        <w:tabs>
          <w:tab w:val="clear" w:pos="709"/>
          <w:tab w:val="left" w:pos="567" w:leader="none"/>
        </w:tabs>
        <w:jc w:val="both"/>
        <w:rPr/>
      </w:pPr>
      <w:r>
        <w:rPr/>
        <w:t xml:space="preserve"> </w:t>
      </w:r>
      <w:r>
        <w:rPr/>
        <w:t>Strefy, o których mowa w ust. 1 wynikają z wpisu do rejestru zabytków, a wszelka działalność inwestycyjno-budowlana wymaga zachowania wymogów wynikających z przepisów odrębnych.</w:t>
      </w:r>
    </w:p>
    <w:p>
      <w:pPr>
        <w:pStyle w:val="Normal"/>
        <w:numPr>
          <w:ilvl w:val="0"/>
          <w:numId w:val="21"/>
        </w:numPr>
        <w:tabs>
          <w:tab w:val="clear" w:pos="709"/>
          <w:tab w:val="left" w:pos="567" w:leader="none"/>
        </w:tabs>
        <w:jc w:val="both"/>
        <w:rPr/>
      </w:pPr>
      <w:r>
        <w:rPr/>
        <w:t xml:space="preserve"> </w:t>
      </w:r>
      <w:r>
        <w:rPr/>
        <w:t>Zabudowa na obszarze opracowania planu winna stanowić nawiązanie do zabudowy historycznej - obowiązują zasady kształtowania zabudowy w tym maksymalna wysokość zabudowy oraz forma kształtowania dachu zgodnie z ustaleniami zawartymi w </w:t>
      </w:r>
      <w:r>
        <w:rPr>
          <w:b/>
          <w:bCs/>
        </w:rPr>
        <w:t>§14 i §15.</w:t>
      </w:r>
    </w:p>
    <w:p>
      <w:pPr>
        <w:pStyle w:val="Normal"/>
        <w:ind w:left="1418"/>
        <w:jc w:val="both"/>
        <w:rPr/>
      </w:pPr>
      <w:r>
        <w:rPr/>
      </w:r>
    </w:p>
    <w:p>
      <w:pPr>
        <w:pStyle w:val="Normal"/>
        <w:ind w:hanging="629" w:left="645"/>
        <w:jc w:val="both"/>
        <w:rPr/>
      </w:pPr>
      <w:r>
        <w:rPr>
          <w:b/>
          <w:bCs/>
        </w:rPr>
        <w:t>§9.</w:t>
      </w:r>
      <w:r>
        <w:rPr/>
        <w:tab/>
        <w:t>Ustala się następujące zasady i warunki scalania i podziału nieruchomości:</w:t>
      </w:r>
    </w:p>
    <w:p>
      <w:pPr>
        <w:pStyle w:val="Normal"/>
        <w:numPr>
          <w:ilvl w:val="1"/>
          <w:numId w:val="7"/>
        </w:numPr>
        <w:tabs>
          <w:tab w:val="clear" w:pos="709"/>
          <w:tab w:val="left" w:pos="567" w:leader="none"/>
        </w:tabs>
        <w:jc w:val="both"/>
        <w:rPr/>
      </w:pPr>
      <w:r>
        <w:rPr/>
        <w:t>minimalną powierzchnię działek ustala się na:</w:t>
      </w:r>
    </w:p>
    <w:p>
      <w:pPr>
        <w:pStyle w:val="Normal"/>
        <w:numPr>
          <w:ilvl w:val="2"/>
          <w:numId w:val="7"/>
        </w:numPr>
        <w:tabs>
          <w:tab w:val="clear" w:pos="709"/>
          <w:tab w:val="left" w:pos="1418" w:leader="none"/>
        </w:tabs>
        <w:jc w:val="both"/>
        <w:rPr/>
      </w:pPr>
      <w:r>
        <w:rPr/>
        <w:t>12 m</w:t>
      </w:r>
      <w:r>
        <w:rPr>
          <w:vertAlign w:val="superscript"/>
        </w:rPr>
        <w:t>2</w:t>
      </w:r>
      <w:r>
        <w:rPr/>
        <w:t> w przypadku działek wydzielanych wyłącznie pod obiekty infrastruktury technicznej lub służących komunikacji</w:t>
      </w:r>
    </w:p>
    <w:p>
      <w:pPr>
        <w:pStyle w:val="Normal"/>
        <w:numPr>
          <w:ilvl w:val="2"/>
          <w:numId w:val="7"/>
        </w:numPr>
        <w:tabs>
          <w:tab w:val="clear" w:pos="709"/>
          <w:tab w:val="left" w:pos="1418" w:leader="none"/>
        </w:tabs>
        <w:jc w:val="both"/>
        <w:rPr/>
      </w:pPr>
      <w:r>
        <w:rPr/>
        <w:t>5000 m</w:t>
      </w:r>
      <w:r>
        <w:rPr>
          <w:vertAlign w:val="superscript"/>
        </w:rPr>
        <w:t xml:space="preserve">2 </w:t>
      </w:r>
      <w:r>
        <w:rPr/>
        <w:t>w przypadku pozostałych działek</w:t>
      </w:r>
      <w:r>
        <w:rPr>
          <w:rFonts w:cs="Open Sans" w:ascii="Open Sans" w:hAnsi="Open Sans"/>
          <w:color w:val="333333"/>
          <w:shd w:fill="FFFFFF" w:val="clear"/>
        </w:rPr>
        <w:t>;</w:t>
      </w:r>
    </w:p>
    <w:p>
      <w:pPr>
        <w:pStyle w:val="Normal"/>
        <w:numPr>
          <w:ilvl w:val="1"/>
          <w:numId w:val="7"/>
        </w:numPr>
        <w:tabs>
          <w:tab w:val="clear" w:pos="709"/>
          <w:tab w:val="left" w:pos="567" w:leader="none"/>
        </w:tabs>
        <w:jc w:val="both"/>
        <w:rPr/>
      </w:pPr>
      <w:r>
        <w:rPr/>
        <w:t>minimalną szerokość frontu działek ustala się na:</w:t>
      </w:r>
    </w:p>
    <w:p>
      <w:pPr>
        <w:pStyle w:val="Normal"/>
        <w:numPr>
          <w:ilvl w:val="2"/>
          <w:numId w:val="7"/>
        </w:numPr>
        <w:tabs>
          <w:tab w:val="clear" w:pos="709"/>
          <w:tab w:val="left" w:pos="1418" w:leader="none"/>
        </w:tabs>
        <w:jc w:val="both"/>
        <w:rPr/>
      </w:pPr>
      <w:r>
        <w:rPr/>
        <w:t>2 m w przypadku działek służących wyłącznie infrastrukturze technicznej,</w:t>
      </w:r>
    </w:p>
    <w:p>
      <w:pPr>
        <w:pStyle w:val="Normal"/>
        <w:numPr>
          <w:ilvl w:val="2"/>
          <w:numId w:val="7"/>
        </w:numPr>
        <w:tabs>
          <w:tab w:val="clear" w:pos="709"/>
          <w:tab w:val="left" w:pos="1418" w:leader="none"/>
        </w:tabs>
        <w:jc w:val="both"/>
        <w:rPr/>
      </w:pPr>
      <w:r>
        <w:rPr/>
        <w:t>35 m przypadku pozostałych działek;</w:t>
      </w:r>
    </w:p>
    <w:p>
      <w:pPr>
        <w:pStyle w:val="Normal"/>
        <w:numPr>
          <w:ilvl w:val="1"/>
          <w:numId w:val="7"/>
        </w:numPr>
        <w:tabs>
          <w:tab w:val="clear" w:pos="709"/>
          <w:tab w:val="left" w:pos="567" w:leader="none"/>
        </w:tabs>
        <w:jc w:val="both"/>
        <w:rPr/>
      </w:pPr>
      <w:r>
        <w:rPr/>
        <w:t>określa się kąt położenia granic działek w stosunku do pasa drogowego od 80º do 100º.</w:t>
      </w:r>
    </w:p>
    <w:p>
      <w:pPr>
        <w:pStyle w:val="Normal"/>
        <w:jc w:val="both"/>
        <w:textAlignment w:val="baseline"/>
        <w:rPr/>
      </w:pPr>
      <w:r>
        <w:rPr/>
      </w:r>
    </w:p>
    <w:p>
      <w:pPr>
        <w:pStyle w:val="Normal"/>
        <w:ind w:hanging="629" w:left="645"/>
        <w:jc w:val="both"/>
        <w:rPr/>
      </w:pPr>
      <w:r>
        <w:rPr>
          <w:b/>
          <w:bCs/>
        </w:rPr>
        <w:t>§10.</w:t>
      </w:r>
      <w:r>
        <w:rPr/>
        <w:t>1.</w:t>
        <w:tab/>
        <w:t xml:space="preserve">W zakresie szczególnych warunków zagospodarowania terenów oraz ograniczeń w ich użytkowaniu, a także w zakresie </w:t>
      </w:r>
      <w:r>
        <w:rPr>
          <w:color w:val="333333"/>
          <w:shd w:fill="FFFFFF" w:val="clear"/>
        </w:rPr>
        <w:t xml:space="preserve">granic i sposobów zagospodarowania </w:t>
      </w:r>
      <w:r>
        <w:rPr/>
        <w:t xml:space="preserve">terenów lub obiektów podlegających ochronie, na podstawie odrębnych </w:t>
      </w:r>
      <w:r>
        <w:fldChar w:fldCharType="begin"/>
      </w:r>
      <w:r>
        <w:rPr/>
        <w:instrText xml:space="preserve"> HYPERLINK "https://sip.lex.pl/" \l "/search-hypertext/17027058_art(15)_2?pit=2020-03-17"</w:instrText>
      </w:r>
      <w:r>
        <w:rPr/>
        <w:fldChar w:fldCharType="separate"/>
      </w:r>
      <w:r>
        <w:rPr/>
        <w:t>przepisów</w:t>
      </w:r>
      <w:r>
        <w:rPr/>
        <w:fldChar w:fldCharType="end"/>
      </w:r>
      <w:r>
        <w:rPr/>
        <w:t xml:space="preserve"> obowiązują:</w:t>
      </w:r>
    </w:p>
    <w:p>
      <w:pPr>
        <w:pStyle w:val="Normal"/>
        <w:numPr>
          <w:ilvl w:val="1"/>
          <w:numId w:val="22"/>
        </w:numPr>
        <w:jc w:val="both"/>
        <w:rPr/>
      </w:pPr>
      <w:r>
        <w:rPr/>
        <w:t>strefa ochrony sanitarnej od cmentarza, oznaczona na rysunku planem w odległości 150 m od cmentarza, w której obowiązują przepisy odrębne dotyczące ograniczeń korzystania z terenu;</w:t>
      </w:r>
    </w:p>
    <w:p>
      <w:pPr>
        <w:pStyle w:val="Normal"/>
        <w:numPr>
          <w:ilvl w:val="1"/>
          <w:numId w:val="22"/>
        </w:numPr>
        <w:jc w:val="both"/>
        <w:rPr/>
      </w:pPr>
      <w:r>
        <w:rPr/>
        <w:t>pasy technologiczne od elektroenergetycznych linii:</w:t>
      </w:r>
    </w:p>
    <w:p>
      <w:pPr>
        <w:pStyle w:val="Normal"/>
        <w:numPr>
          <w:ilvl w:val="2"/>
          <w:numId w:val="22"/>
        </w:numPr>
        <w:jc w:val="both"/>
        <w:rPr/>
      </w:pPr>
      <w:r>
        <w:rPr/>
        <w:t xml:space="preserve">napowietrznych wysokiego napięcia 110 kV, o szerokości 22 m, licząc po 11 m od osi linii w obu kierunkach, </w:t>
      </w:r>
    </w:p>
    <w:p>
      <w:pPr>
        <w:pStyle w:val="Normal"/>
        <w:numPr>
          <w:ilvl w:val="2"/>
          <w:numId w:val="22"/>
        </w:numPr>
        <w:jc w:val="both"/>
        <w:rPr/>
      </w:pPr>
      <w:r>
        <w:rPr/>
        <w:t>napowietrznych średniego napięcia 15 kV, o szerokości 14 m, licząc po 7 m od osi linii w obu kierunkach,</w:t>
      </w:r>
    </w:p>
    <w:p>
      <w:pPr>
        <w:pStyle w:val="Normal"/>
        <w:numPr>
          <w:ilvl w:val="2"/>
          <w:numId w:val="22"/>
        </w:numPr>
        <w:jc w:val="both"/>
        <w:rPr/>
      </w:pPr>
      <w:r>
        <w:rPr/>
        <w:t>napowietrznych niskiego napięcia 0,4 kV, o szerokości 7 m, licząc po 3,5 m od osi linii w obu kierunkach,</w:t>
      </w:r>
    </w:p>
    <w:p>
      <w:pPr>
        <w:pStyle w:val="Normal"/>
        <w:numPr>
          <w:ilvl w:val="2"/>
          <w:numId w:val="22"/>
        </w:numPr>
        <w:jc w:val="both"/>
        <w:rPr/>
      </w:pPr>
      <w:r>
        <w:rPr/>
        <w:t>kablowych średniego 15 kV i niskiego napięcia 0,4 kV o szerokości 0,5 m licząc po 0,25 m od osi linii w obu kierunkach.</w:t>
      </w:r>
    </w:p>
    <w:p>
      <w:pPr>
        <w:pStyle w:val="Normal"/>
        <w:numPr>
          <w:ilvl w:val="0"/>
          <w:numId w:val="20"/>
        </w:numPr>
        <w:jc w:val="both"/>
        <w:rPr/>
      </w:pPr>
      <w:r>
        <w:rPr/>
        <w:t xml:space="preserve">Pasy technologiczne od istniejących elektroenergetycznych linii napowietrznych wysokiego napięcia 110 kV i średniego napięcia 15 kV, są dodatkowo uwidocznione na rysunku planu, jednocześnie dopuszcza się budowę, rozbudowę i przebudowę rozdzielczej sieci elektroenergetycznej, zgodnie z ustaleniami </w:t>
      </w:r>
      <w:r>
        <w:rPr>
          <w:b/>
        </w:rPr>
        <w:t>§ 19</w:t>
      </w:r>
      <w:r>
        <w:rPr/>
        <w:t>;</w:t>
      </w:r>
      <w:r>
        <w:rPr>
          <w:b/>
        </w:rPr>
        <w:t xml:space="preserve"> </w:t>
      </w:r>
      <w:r>
        <w:rPr/>
        <w:t>w przypadku skablowania linii napowietrznej, likwidacji bądź zmiany przebiegu linii, oznaczenie graficzne nie ma zastosowania, a szerokości i przebieg pasów technologicznych należy określić na podstawie stanu faktycznego zgodnie z ust. 1.</w:t>
      </w:r>
    </w:p>
    <w:p>
      <w:pPr>
        <w:pStyle w:val="Normal"/>
        <w:numPr>
          <w:ilvl w:val="0"/>
          <w:numId w:val="20"/>
        </w:numPr>
        <w:jc w:val="both"/>
        <w:rPr/>
      </w:pPr>
      <w:r>
        <w:rPr/>
        <w:t>W pasach technologicznych, o których mowa w ust. 1 pkt. 2 ustala się zakaz lokalizacji drzew, jednocześnie obowiązują przepisy odrębne w szczególności dotyczące wymagań w zakresie odległości obiektów budowlanych i warunków zagospodarowania terenów w sąsiedztwie linii elektroenergetycznych, a także w sprawie dopuszczalnych poziomów pól elektromagnetycznych w środowisku.</w:t>
      </w:r>
    </w:p>
    <w:p>
      <w:pPr>
        <w:pStyle w:val="Normal"/>
        <w:numPr>
          <w:ilvl w:val="0"/>
          <w:numId w:val="20"/>
        </w:numPr>
        <w:jc w:val="both"/>
        <w:rPr/>
      </w:pPr>
      <w:r>
        <w:rPr/>
        <w:t>Obowiązują przepisy odrębne wynikające z sąsiedztwa obszaru opracowania planu z wodami powierzchniowymi (Jezioro Krzyckie), ciekiem naturalnym (Krzycki Rów) oraz rowem melioracyjnym ujętym w ewidencji melioracji wodnych.</w:t>
      </w:r>
    </w:p>
    <w:p>
      <w:pPr>
        <w:pStyle w:val="Normal"/>
        <w:jc w:val="both"/>
        <w:textAlignment w:val="baseline"/>
        <w:rPr/>
      </w:pPr>
      <w:r>
        <w:rPr/>
      </w:r>
    </w:p>
    <w:p>
      <w:pPr>
        <w:pStyle w:val="Normal"/>
        <w:ind w:hanging="629" w:left="645"/>
        <w:jc w:val="both"/>
        <w:rPr/>
      </w:pPr>
      <w:r>
        <w:rPr>
          <w:b/>
          <w:bCs/>
        </w:rPr>
        <w:t>§11</w:t>
      </w:r>
      <w:r>
        <w:rPr/>
        <w:t>.</w:t>
        <w:tab/>
        <w:t>W zakresie ustaleń dotyczących komunikacji, w tym powiązań komunikacyjnych z układem zewnętrznym, ustala się, że dostępy poszczególnych działek budowlanych do drogi publicznej należy zapewnić poprzez przyległe do granic obszaru opracowania planu drogi publiczne.</w:t>
      </w:r>
    </w:p>
    <w:p>
      <w:pPr>
        <w:pStyle w:val="Normal"/>
        <w:ind w:hanging="629" w:left="645"/>
        <w:jc w:val="both"/>
        <w:rPr/>
      </w:pPr>
      <w:r>
        <w:rPr/>
      </w:r>
    </w:p>
    <w:p>
      <w:pPr>
        <w:pStyle w:val="Normal"/>
        <w:ind w:hanging="629" w:left="645"/>
        <w:jc w:val="both"/>
        <w:rPr/>
      </w:pPr>
      <w:r>
        <w:rPr>
          <w:b/>
          <w:bCs/>
        </w:rPr>
        <w:t>§12</w:t>
      </w:r>
      <w:r>
        <w:rPr/>
        <w:t>.</w:t>
        <w:tab/>
        <w:t>W zakresie wymagań, wynikających z potrzeb kształtowania przestrzeni publicznych oraz rozmieszczenia inwestycji celu publicznego:</w:t>
      </w:r>
    </w:p>
    <w:p>
      <w:pPr>
        <w:pStyle w:val="Normal"/>
        <w:numPr>
          <w:ilvl w:val="1"/>
          <w:numId w:val="23"/>
        </w:numPr>
        <w:jc w:val="both"/>
        <w:rPr/>
      </w:pPr>
      <w:r>
        <w:rPr/>
        <w:t>obszar opracowania planu uznaje się</w:t>
      </w:r>
      <w:r>
        <w:rPr>
          <w:b/>
          <w:bCs/>
        </w:rPr>
        <w:t xml:space="preserve"> </w:t>
      </w:r>
      <w:r>
        <w:rPr/>
        <w:t xml:space="preserve">przestrzenią publiczną – obowiązują ustalenia zawarte w rozdziale 3 dla poszczególnych terenów. </w:t>
      </w:r>
    </w:p>
    <w:p>
      <w:pPr>
        <w:pStyle w:val="Normal"/>
        <w:numPr>
          <w:ilvl w:val="1"/>
          <w:numId w:val="23"/>
        </w:numPr>
        <w:jc w:val="both"/>
        <w:rPr/>
      </w:pPr>
      <w:r>
        <w:rPr/>
        <w:t>obszar opracowania planu stanowi granicę terenów rozmieszczenia inwestycji celu publicznego o znaczeniu lokalnym.</w:t>
      </w:r>
    </w:p>
    <w:p>
      <w:pPr>
        <w:pStyle w:val="Normal"/>
        <w:ind w:hanging="629" w:left="645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ind w:hanging="629" w:left="645"/>
        <w:jc w:val="both"/>
        <w:rPr/>
      </w:pPr>
      <w:r>
        <w:rPr>
          <w:b/>
          <w:bCs/>
        </w:rPr>
        <w:t>§13.</w:t>
        <w:tab/>
      </w:r>
      <w:r>
        <w:rPr/>
        <w:t>Stawkę procentową służącą naliczeniu opłaty, o której mowa w art. 36 ust. 4 ustawy z dnia 27 marca 2003 roku o planowaniu i zagospodarowaniu przestrzennym, ustala się w wysokości 30%.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Rozdział 3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Przeznaczenie oraz uzupełniające przepisy szczegółowe dla poszczególnych terenów</w:t>
      </w:r>
    </w:p>
    <w:p>
      <w:pPr>
        <w:pStyle w:val="Normal"/>
        <w:ind w:hanging="709" w:left="709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ind w:hanging="709" w:left="709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ind w:hanging="454" w:left="454"/>
        <w:jc w:val="both"/>
        <w:rPr>
          <w:color w:val="000000"/>
        </w:rPr>
      </w:pPr>
      <w:r>
        <w:rPr>
          <w:b/>
          <w:bCs/>
          <w:color w:val="000000"/>
        </w:rPr>
        <w:t>§</w:t>
      </w:r>
      <w:r>
        <w:rPr>
          <w:b/>
          <w:bCs/>
        </w:rPr>
        <w:t>14</w:t>
      </w:r>
      <w:r>
        <w:rPr>
          <w:color w:val="000000"/>
        </w:rPr>
        <w:t>.1</w:t>
        <w:tab/>
        <w:t xml:space="preserve">Teren oznaczony na rysunku planu symbolem: </w:t>
      </w:r>
      <w:r>
        <w:rPr>
          <w:b/>
          <w:bCs/>
          <w:color w:val="000000"/>
        </w:rPr>
        <w:t>1US-UT-ZP</w:t>
      </w:r>
      <w:r>
        <w:rPr>
          <w:color w:val="000000"/>
        </w:rPr>
        <w:t>, opisany jako</w:t>
      </w:r>
      <w:r>
        <w:rPr>
          <w:b/>
          <w:bCs/>
          <w:color w:val="000000"/>
        </w:rPr>
        <w:t xml:space="preserve"> </w:t>
      </w:r>
      <w:r>
        <w:rPr>
          <w:i/>
          <w:iCs/>
          <w:color w:val="000000"/>
        </w:rPr>
        <w:t xml:space="preserve">teren usług sportu i rekreacji lub usług turystyki lub zieleni urządzonej, </w:t>
      </w:r>
      <w:r>
        <w:rPr>
          <w:color w:val="000000"/>
        </w:rPr>
        <w:t xml:space="preserve">przeznacza się pod: </w:t>
      </w:r>
    </w:p>
    <w:p>
      <w:pPr>
        <w:pStyle w:val="NormalWeb"/>
        <w:numPr>
          <w:ilvl w:val="1"/>
          <w:numId w:val="17"/>
        </w:numPr>
        <w:spacing w:beforeAutospacing="0" w:before="0" w:afterAutospacing="0" w:after="0"/>
        <w:ind w:hanging="360" w:left="1134"/>
        <w:jc w:val="both"/>
        <w:textAlignment w:val="baseline"/>
        <w:rPr/>
      </w:pPr>
      <w:r>
        <w:rPr>
          <w:b/>
          <w:bCs/>
        </w:rPr>
        <w:t xml:space="preserve">usługi sportu i rekreacji </w:t>
      </w:r>
      <w:r>
        <w:rPr/>
        <w:t xml:space="preserve">– </w:t>
      </w:r>
      <w:r>
        <w:rPr>
          <w:color w:val="000000"/>
        </w:rPr>
        <w:t>przez</w:t>
      </w:r>
      <w:r>
        <w:rPr/>
        <w:t xml:space="preserve"> które należy rozumieć obiekty i urządzenia</w:t>
      </w:r>
      <w:r>
        <w:rPr>
          <w:b/>
          <w:bCs/>
        </w:rPr>
        <w:t xml:space="preserve"> </w:t>
      </w:r>
      <w:r>
        <w:rPr/>
        <w:t>służące działalności sportowo - rekreacyjnej, takie jak: hale sportowe, sale gimnastyczne, a także budowle i terenowe urządzenia sportowe jak: boiska, korty, bieżnie, trybuny, kąpieliska, skateparki i lodowiska, place zabaw oraz inne obiekty służące do wykonywania podobnych do wymienionych funkcji;</w:t>
      </w:r>
    </w:p>
    <w:p>
      <w:pPr>
        <w:pStyle w:val="NormalWeb"/>
        <w:numPr>
          <w:ilvl w:val="1"/>
          <w:numId w:val="17"/>
        </w:numPr>
        <w:spacing w:beforeAutospacing="0" w:before="0" w:afterAutospacing="0" w:after="0"/>
        <w:ind w:hanging="360" w:left="1134"/>
        <w:jc w:val="both"/>
        <w:textAlignment w:val="baseline"/>
        <w:rPr/>
      </w:pPr>
      <w:r>
        <w:rPr>
          <w:b/>
          <w:bCs/>
        </w:rPr>
        <w:t>usługi turystyki</w:t>
      </w:r>
      <w:r>
        <w:rPr/>
        <w:t xml:space="preserve"> – należy przez to rozumieć obiekty takie jak: mariny, motele hotele, schroniska młodzieżowe, domy wczasowe, plaże, pola biwakowe i  kempingi oraz inne obiekty służące do wykonywania podobnych do wymienionych funkcji;</w:t>
      </w:r>
    </w:p>
    <w:p>
      <w:pPr>
        <w:pStyle w:val="NormalWeb"/>
        <w:numPr>
          <w:ilvl w:val="1"/>
          <w:numId w:val="17"/>
        </w:numPr>
        <w:tabs>
          <w:tab w:val="clear" w:pos="709"/>
          <w:tab w:val="left" w:pos="1134" w:leader="none"/>
        </w:tabs>
        <w:spacing w:beforeAutospacing="0" w:before="0" w:afterAutospacing="0" w:after="0"/>
        <w:ind w:hanging="360" w:left="1080"/>
        <w:jc w:val="both"/>
        <w:textAlignment w:val="baseline"/>
        <w:rPr>
          <w:color w:val="000000"/>
        </w:rPr>
      </w:pPr>
      <w:r>
        <w:rPr>
          <w:b/>
          <w:bCs/>
          <w:color w:val="000000"/>
        </w:rPr>
        <w:t xml:space="preserve">zieleń urządzoną </w:t>
      </w:r>
      <w:r>
        <w:rPr>
          <w:color w:val="000000"/>
        </w:rPr>
        <w:t>– przez</w:t>
      </w:r>
      <w:r>
        <w:rPr/>
        <w:t xml:space="preserve"> którą należy rozumieć park składający się z zieleni wysokiej, średniej i niskiej wraz z obiektami małej architektury oraz ciągami pieszymi i rowerowymi.</w:t>
      </w:r>
    </w:p>
    <w:p>
      <w:pPr>
        <w:pStyle w:val="ListParagraph"/>
        <w:numPr>
          <w:ilvl w:val="0"/>
          <w:numId w:val="17"/>
        </w:numPr>
        <w:jc w:val="both"/>
        <w:rPr/>
      </w:pPr>
      <w:r>
        <w:rPr/>
        <w:t>Na terenie, o którym mowa w ust.1, dopuszcza się zabudowę usługową służącą obsłudze terenów sportu i rekreacji lub turystyki  - przez którą należy rozumieć obiekty towarzyszące takie jak: szatnie i sa</w:t>
      </w:r>
      <w:bookmarkStart w:id="2" w:name="_GoBack"/>
      <w:bookmarkEnd w:id="2"/>
      <w:r>
        <w:rPr/>
        <w:t>nitariaty, usługi gastronomii, a także drobnego handlu o powierzchni sprzedaży nie większej niż 20% powierzchni użytkowej budynku o przeznaczeniu sportowo-rekreacyjnym lub turystycznym.</w:t>
      </w:r>
    </w:p>
    <w:p>
      <w:pPr>
        <w:pStyle w:val="ListParagraph"/>
        <w:numPr>
          <w:ilvl w:val="0"/>
          <w:numId w:val="17"/>
        </w:numPr>
        <w:jc w:val="both"/>
        <w:rPr/>
      </w:pPr>
      <w:r>
        <w:rPr/>
        <w:t>Na terenie, o którym mowa w ust.1, ustala się następujące zasady kształtowania zabudowy oraz wskaźniki zagospodarowania terenu w tym zasady ochrony i  kształtowania ładu przestrzennego i krajobrazu:</w:t>
      </w:r>
    </w:p>
    <w:p>
      <w:pPr>
        <w:pStyle w:val="ListParagraph"/>
        <w:numPr>
          <w:ilvl w:val="1"/>
          <w:numId w:val="17"/>
        </w:numPr>
        <w:ind w:hanging="360" w:left="1134"/>
        <w:jc w:val="both"/>
        <w:rPr/>
      </w:pPr>
      <w:r>
        <w:rPr/>
        <w:t>powierzchnia zabudowy w stosunku do powierzchni działki budowlanej nie może przekraczać wartości 0,2;</w:t>
      </w:r>
    </w:p>
    <w:p>
      <w:pPr>
        <w:pStyle w:val="Normal"/>
        <w:numPr>
          <w:ilvl w:val="1"/>
          <w:numId w:val="17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>minimalna intensywność zabudowy jako wskaźnik powierzchni całkowitej zabudowy w odniesieniu do powierzchni działki budowlanej wynosi 0,01;</w:t>
      </w:r>
    </w:p>
    <w:p>
      <w:pPr>
        <w:pStyle w:val="Normal"/>
        <w:numPr>
          <w:ilvl w:val="1"/>
          <w:numId w:val="17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>maksymalna intensywność zabudowy jako wskaźnik powierzchni całkowitej zabudowy w odniesieniu do powierzchni działki budowlanej wynosi 0,4;</w:t>
      </w:r>
    </w:p>
    <w:p>
      <w:pPr>
        <w:pStyle w:val="Normal"/>
        <w:numPr>
          <w:ilvl w:val="1"/>
          <w:numId w:val="17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 xml:space="preserve">minimalny udział procentowy powierzchni biologicznie czynnej , z zastrzeżeniem pkt. </w:t>
      </w:r>
      <w:r>
        <w:rPr>
          <w:b/>
          <w:bCs/>
        </w:rPr>
        <w:t>5</w:t>
      </w:r>
      <w:r>
        <w:rPr/>
        <w:t>, w odniesieniu do powierzchni działki budowlanej wynosi 60%;</w:t>
      </w:r>
    </w:p>
    <w:p>
      <w:pPr>
        <w:pStyle w:val="Normal"/>
        <w:numPr>
          <w:ilvl w:val="1"/>
          <w:numId w:val="17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>w strefie zieleni nadbrzeżnej oznaczonej na rysunku planu, minimalny udział procentowy powierzchni biologicznie czynnej do powierzchni działki budowlanej wynosi 80%, jednocześnie ustala się, że dominującą formą wykorzystania strefy stanowi zieleń wysoka;</w:t>
      </w:r>
    </w:p>
    <w:p>
      <w:pPr>
        <w:pStyle w:val="ListParagraph"/>
        <w:numPr>
          <w:ilvl w:val="1"/>
          <w:numId w:val="17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 xml:space="preserve">maksymalna wysokość zabudowy, z zastrzeżeniem pkt. </w:t>
      </w:r>
      <w:r>
        <w:rPr>
          <w:b/>
          <w:bCs/>
        </w:rPr>
        <w:t>7,</w:t>
      </w:r>
      <w:r>
        <w:rPr/>
        <w:t xml:space="preserve"> mierzona od poziomu określonego zgodnie z przepisami odrębnymi do najwyższego punktu dachu w przypadku wiat i  budynków oraz najwyższego punktu pozostałych obiektów budowlanych wynosi 12 metrów; </w:t>
      </w:r>
    </w:p>
    <w:p>
      <w:pPr>
        <w:pStyle w:val="ListParagraph"/>
        <w:numPr>
          <w:ilvl w:val="1"/>
          <w:numId w:val="17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 xml:space="preserve"> </w:t>
      </w:r>
      <w:r>
        <w:rPr/>
        <w:t>w strefie ochrony konserwatorskiej układu architektoniczno-przestrzennego miejscowości Krzycko Małe oznaczonej na rysunku planu, maksymalna wysokość zabudowy mierzona od poziomu określonego zgodnie z przepisami odrębnymi do najwyższego punktu dachu w przypadku wiat i  budynków oraz najwyższego punktu pozostałych obiektów budowlanych wynosi 9 metrów;</w:t>
      </w:r>
    </w:p>
    <w:p>
      <w:pPr>
        <w:pStyle w:val="Normal"/>
        <w:numPr>
          <w:ilvl w:val="1"/>
          <w:numId w:val="17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 xml:space="preserve">dachy budynków należy kształtować o symetrycznym nachyleniu głównych połaci dachowych, o kacie nachylenia od 35º do 45º; ustala się pokrycie dachów stromych materiałem składającym się z drobnych elementów lub ich imitacją – </w:t>
      </w:r>
      <w:r>
        <w:rPr>
          <w:shd w:fill="auto" w:val="clear"/>
        </w:rPr>
        <w:t xml:space="preserve">takich jak dachówka lub blacha dachówkopodobna lub inny materiał dachówkopodobny; obowiązuje pokrycie w kolorze </w:t>
      </w:r>
      <w:r>
        <w:rPr>
          <w:color w:val="000000"/>
          <w:shd w:fill="auto" w:val="clear"/>
        </w:rPr>
        <w:t>ceglastoczerwonym lub grafitowym;</w:t>
      </w:r>
    </w:p>
    <w:p>
      <w:pPr>
        <w:pStyle w:val="Normal"/>
        <w:numPr>
          <w:ilvl w:val="1"/>
          <w:numId w:val="17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>obowiązują nieprzekraczalne linie zabudowy wyznaczone zgodnie z rysunkiem planu i w odległości od linii rozgraniczających zgodnie z przedstawionymi na rysunku planu wymiarami;</w:t>
      </w:r>
    </w:p>
    <w:p>
      <w:pPr>
        <w:pStyle w:val="Normal"/>
        <w:numPr>
          <w:ilvl w:val="1"/>
          <w:numId w:val="17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>minimalną powierzchnię nowo wydzielanych działek budowlanych ustala się na 5000 m</w:t>
      </w:r>
      <w:r>
        <w:rPr>
          <w:vertAlign w:val="superscript"/>
        </w:rPr>
        <w:t>2</w:t>
      </w:r>
      <w:r>
        <w:rPr/>
        <w:t>;</w:t>
      </w:r>
    </w:p>
    <w:p>
      <w:pPr>
        <w:pStyle w:val="Normal"/>
        <w:numPr>
          <w:ilvl w:val="1"/>
          <w:numId w:val="17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>obowiązują miejsca parkingowe, co najmniej w liczbie ustalonej zgodnie z następującymi wskaźnikami i zasadami:</w:t>
      </w:r>
    </w:p>
    <w:p>
      <w:pPr>
        <w:pStyle w:val="Normal"/>
        <w:numPr>
          <w:ilvl w:val="2"/>
          <w:numId w:val="18"/>
        </w:numPr>
        <w:jc w:val="both"/>
        <w:rPr/>
      </w:pPr>
      <w:r>
        <w:rPr/>
        <w:t>1 miejsce parkingowe na każde rozpoczęte 100 m</w:t>
      </w:r>
      <w:r>
        <w:rPr>
          <w:vertAlign w:val="superscript"/>
        </w:rPr>
        <w:t>2</w:t>
      </w:r>
      <w:r>
        <w:rPr/>
        <w:t xml:space="preserve"> powierzchni użytkowej usług, </w:t>
      </w:r>
    </w:p>
    <w:p>
      <w:pPr>
        <w:pStyle w:val="Normal"/>
        <w:numPr>
          <w:ilvl w:val="2"/>
          <w:numId w:val="18"/>
        </w:numPr>
        <w:jc w:val="both"/>
        <w:rPr/>
      </w:pPr>
      <w:r>
        <w:rPr/>
        <w:t>w ramach określonej minimalnej liczby miejsc do parkowania, należy zapewnić miejsca przeznaczone na parkowanie pojazdów zaopatrzonych w kartę parkingową, w liczbie nie mniejszej niż określonej w przepisach odrębnych dla dróg publicznych, stref zamieszkania oraz stref ruchu,</w:t>
      </w:r>
    </w:p>
    <w:p>
      <w:pPr>
        <w:pStyle w:val="Normal"/>
        <w:numPr>
          <w:ilvl w:val="2"/>
          <w:numId w:val="18"/>
        </w:numPr>
        <w:jc w:val="both"/>
        <w:rPr/>
      </w:pPr>
      <w:r>
        <w:rPr/>
        <w:t xml:space="preserve">lokalizacje miejsc parkingowych należy zapewnić na terenie oznaczonym </w:t>
      </w:r>
      <w:r>
        <w:rPr>
          <w:color w:val="000000"/>
        </w:rPr>
        <w:t xml:space="preserve">na rysunku planu </w:t>
      </w:r>
      <w:r>
        <w:rPr/>
        <w:t xml:space="preserve">symbolem </w:t>
      </w:r>
      <w:r>
        <w:rPr>
          <w:b/>
          <w:bCs/>
          <w:color w:val="000000"/>
        </w:rPr>
        <w:t xml:space="preserve">1US-KOP. 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ind w:hanging="454" w:left="454"/>
        <w:jc w:val="both"/>
        <w:rPr>
          <w:color w:val="000000"/>
        </w:rPr>
      </w:pPr>
      <w:r>
        <w:rPr>
          <w:b/>
          <w:bCs/>
          <w:color w:val="000000"/>
        </w:rPr>
        <w:t>§</w:t>
      </w:r>
      <w:r>
        <w:rPr>
          <w:b/>
          <w:bCs/>
        </w:rPr>
        <w:t>15</w:t>
      </w:r>
      <w:r>
        <w:rPr>
          <w:color w:val="000000"/>
        </w:rPr>
        <w:t>.1</w:t>
        <w:tab/>
        <w:t xml:space="preserve">Teren oznaczony na rysunku planu symbolem: </w:t>
      </w:r>
      <w:r>
        <w:rPr>
          <w:b/>
          <w:bCs/>
          <w:color w:val="000000"/>
        </w:rPr>
        <w:t>1US-KOP</w:t>
      </w:r>
      <w:r>
        <w:rPr>
          <w:color w:val="000000"/>
        </w:rPr>
        <w:t>, opisany jako</w:t>
      </w:r>
      <w:r>
        <w:rPr>
          <w:b/>
          <w:bCs/>
          <w:color w:val="000000"/>
        </w:rPr>
        <w:t xml:space="preserve"> </w:t>
      </w:r>
      <w:r>
        <w:rPr>
          <w:i/>
          <w:iCs/>
          <w:color w:val="000000"/>
        </w:rPr>
        <w:t xml:space="preserve">teren usług sportu i rekreacji lub parkingu, </w:t>
      </w:r>
      <w:r>
        <w:rPr>
          <w:color w:val="000000"/>
        </w:rPr>
        <w:t xml:space="preserve">przeznacza się pod: </w:t>
      </w:r>
    </w:p>
    <w:p>
      <w:pPr>
        <w:pStyle w:val="NormalWeb"/>
        <w:numPr>
          <w:ilvl w:val="1"/>
          <w:numId w:val="24"/>
        </w:numPr>
        <w:tabs>
          <w:tab w:val="clear" w:pos="709"/>
          <w:tab w:val="left" w:pos="1134" w:leader="none"/>
        </w:tabs>
        <w:spacing w:beforeAutospacing="0" w:before="0" w:afterAutospacing="0" w:after="0"/>
        <w:ind w:hanging="283" w:left="1134"/>
        <w:jc w:val="both"/>
        <w:textAlignment w:val="baseline"/>
        <w:rPr/>
      </w:pPr>
      <w:r>
        <w:rPr>
          <w:b/>
          <w:bCs/>
        </w:rPr>
        <w:t xml:space="preserve">usługi sportu i rekreacji </w:t>
      </w:r>
      <w:r>
        <w:rPr/>
        <w:t xml:space="preserve">– </w:t>
      </w:r>
      <w:r>
        <w:rPr>
          <w:color w:val="000000"/>
        </w:rPr>
        <w:t>przez</w:t>
      </w:r>
      <w:r>
        <w:rPr/>
        <w:t xml:space="preserve"> które należy rozumieć budowle i terenowe urządzenia</w:t>
      </w:r>
      <w:r>
        <w:rPr>
          <w:b/>
          <w:bCs/>
        </w:rPr>
        <w:t xml:space="preserve"> </w:t>
      </w:r>
      <w:r>
        <w:rPr/>
        <w:t>służące działalności sportowo - rekreacyjnej, takie jak: boiska, korty, bieżnie, trybuny, kąpieliska, skateparki i lodowiska, place zabaw oraz inne obiekty służące do wykonywania podobnych do wymienionych funkcji;</w:t>
      </w:r>
    </w:p>
    <w:p>
      <w:pPr>
        <w:pStyle w:val="NormalWeb"/>
        <w:numPr>
          <w:ilvl w:val="1"/>
          <w:numId w:val="24"/>
        </w:numPr>
        <w:spacing w:beforeAutospacing="0" w:before="0" w:afterAutospacing="0" w:after="0"/>
        <w:ind w:hanging="360" w:left="1134"/>
        <w:jc w:val="both"/>
        <w:textAlignment w:val="baseline"/>
        <w:rPr>
          <w:b/>
          <w:bCs/>
        </w:rPr>
      </w:pPr>
      <w:r>
        <w:rPr>
          <w:b/>
          <w:bCs/>
        </w:rPr>
        <w:t xml:space="preserve">parking, </w:t>
      </w:r>
      <w:r>
        <w:rPr/>
        <w:t xml:space="preserve">przez który należy rozumieć parking terenowy wraz z dojściami i  dojazdami, w tym dojazdami do ternu oznaczonego na rysunku planu symbolem </w:t>
      </w:r>
      <w:r>
        <w:rPr>
          <w:b/>
          <w:bCs/>
          <w:color w:val="000000"/>
        </w:rPr>
        <w:t>1US-UT-ZP</w:t>
      </w:r>
      <w:r>
        <w:rPr/>
        <w:t xml:space="preserve"> oraz zielenią towarzyszącą</w:t>
      </w:r>
      <w:r>
        <w:rPr>
          <w:b/>
          <w:bCs/>
        </w:rPr>
        <w:t>.</w:t>
      </w:r>
    </w:p>
    <w:p>
      <w:pPr>
        <w:pStyle w:val="ListParagraph"/>
        <w:numPr>
          <w:ilvl w:val="0"/>
          <w:numId w:val="24"/>
        </w:numPr>
        <w:jc w:val="both"/>
        <w:rPr>
          <w:highlight w:val="none"/>
          <w:shd w:fill="auto" w:val="clear"/>
        </w:rPr>
      </w:pPr>
      <w:r>
        <w:rPr>
          <w:shd w:fill="auto" w:val="clear"/>
        </w:rPr>
        <w:t>Na terenie, o którym mowa w ust.1, ustala się zakaz realizacji budynków.</w:t>
      </w:r>
    </w:p>
    <w:p>
      <w:pPr>
        <w:pStyle w:val="ListParagraph"/>
        <w:numPr>
          <w:ilvl w:val="0"/>
          <w:numId w:val="24"/>
        </w:numPr>
        <w:jc w:val="both"/>
        <w:rPr/>
      </w:pPr>
      <w:r>
        <w:rPr/>
        <w:t>Na terenie, o którym mowa w ust.1, ustala się następujące wskaźniki zagospodarowania terenu w tym zasady ochrony i  kształtowania ładu przestrzennego i krajobrazu:</w:t>
      </w:r>
    </w:p>
    <w:p>
      <w:pPr>
        <w:pStyle w:val="Normal"/>
        <w:numPr>
          <w:ilvl w:val="1"/>
          <w:numId w:val="24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>minimalny udział procentowy powierzchni biologicznie czynnej w odniesieniu do powierzchni działki budowlanej wynosi 30%;</w:t>
      </w:r>
    </w:p>
    <w:p>
      <w:pPr>
        <w:pStyle w:val="ListParagraph"/>
        <w:numPr>
          <w:ilvl w:val="1"/>
          <w:numId w:val="24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>maksymalna wysokość zabudowy, z zastrzeżeniem pkt. 3</w:t>
      </w:r>
      <w:r>
        <w:rPr>
          <w:b/>
          <w:bCs/>
        </w:rPr>
        <w:t>,</w:t>
      </w:r>
      <w:r>
        <w:rPr/>
        <w:t xml:space="preserve"> mierzona od poziomu określonego zgodnie z przepisami odrębnymi do najwyższego punktu obiektów budowlanych wynosi 12 metrów; </w:t>
      </w:r>
    </w:p>
    <w:p>
      <w:pPr>
        <w:pStyle w:val="ListParagraph"/>
        <w:numPr>
          <w:ilvl w:val="1"/>
          <w:numId w:val="24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 xml:space="preserve"> </w:t>
      </w:r>
      <w:r>
        <w:rPr/>
        <w:t>w strefie ochrony konserwatorskiej układu architektoniczno-przestrzennego miejscowości Krzycko Małe oznaczonej na rysunku planu, maksymalna wysokość zabudowy mierzona od poziomu określonego zgodnie z przepisami odrębnymi do najwyższego punktu pozostałych obiektów budowlanych wynosi 9 metrów;</w:t>
      </w:r>
    </w:p>
    <w:p>
      <w:pPr>
        <w:pStyle w:val="Normal"/>
        <w:numPr>
          <w:ilvl w:val="1"/>
          <w:numId w:val="24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>minimalną powierzchnię nowo wydzielanych działek budowlanych ustala się na 5000 m</w:t>
      </w:r>
      <w:r>
        <w:rPr>
          <w:vertAlign w:val="superscript"/>
        </w:rPr>
        <w:t>2</w:t>
      </w:r>
      <w:r>
        <w:rPr/>
        <w:t>;</w:t>
      </w:r>
    </w:p>
    <w:p>
      <w:pPr>
        <w:pStyle w:val="Normal"/>
        <w:numPr>
          <w:ilvl w:val="1"/>
          <w:numId w:val="24"/>
        </w:numPr>
        <w:tabs>
          <w:tab w:val="clear" w:pos="709"/>
          <w:tab w:val="left" w:pos="567" w:leader="none"/>
        </w:tabs>
        <w:ind w:hanging="360" w:left="1134"/>
        <w:jc w:val="both"/>
        <w:rPr/>
      </w:pPr>
      <w:r>
        <w:rPr/>
        <w:t>obowiązują miejsca parkingowe, co najmniej w liczbie ustalonej zgodnie z następującymi wskaźnikami i zasadami:</w:t>
      </w:r>
    </w:p>
    <w:p>
      <w:pPr>
        <w:pStyle w:val="Normal"/>
        <w:numPr>
          <w:ilvl w:val="2"/>
          <w:numId w:val="18"/>
        </w:numPr>
        <w:jc w:val="both"/>
        <w:rPr/>
      </w:pPr>
      <w:r>
        <w:rPr/>
        <w:t>1 miejsce parkingowe na każde rozpoczęte 100 m</w:t>
      </w:r>
      <w:r>
        <w:rPr>
          <w:vertAlign w:val="superscript"/>
        </w:rPr>
        <w:t>2</w:t>
      </w:r>
      <w:r>
        <w:rPr/>
        <w:t xml:space="preserve"> powierzchni przeznaczonej na obiekt usługowy, </w:t>
      </w:r>
    </w:p>
    <w:p>
      <w:pPr>
        <w:pStyle w:val="Normal"/>
        <w:numPr>
          <w:ilvl w:val="2"/>
          <w:numId w:val="18"/>
        </w:numPr>
        <w:jc w:val="both"/>
        <w:rPr/>
      </w:pPr>
      <w:r>
        <w:rPr/>
        <w:t>w ramach określonej minimalnej liczby miejsc do parkowania, należy zapewnić miejsca przeznaczone na parkowanie pojazdów zaopatrzonych w kartę parkingową, w liczbie nie mniejszej niż określonej w przepisach odrębnych dla dróg publicznych, stref zamieszkania oraz stref ruchu.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ind w:hanging="709" w:left="709"/>
        <w:jc w:val="both"/>
        <w:rPr>
          <w:b/>
          <w:bCs/>
        </w:rPr>
      </w:pPr>
      <w:r>
        <w:rPr>
          <w:b/>
          <w:bCs/>
        </w:rPr>
        <w:t>§16.</w:t>
      </w:r>
      <w:r>
        <w:rPr/>
        <w:t>1. Tereny oznaczone na rysunku planu symbolami:</w:t>
      </w:r>
      <w:r>
        <w:rPr>
          <w:b/>
          <w:bCs/>
        </w:rPr>
        <w:t xml:space="preserve"> 1KD</w:t>
      </w:r>
      <w:r>
        <w:rPr/>
        <w:t xml:space="preserve"> i</w:t>
      </w:r>
      <w:r>
        <w:rPr>
          <w:b/>
          <w:bCs/>
        </w:rPr>
        <w:t xml:space="preserve"> 2KD</w:t>
      </w:r>
      <w:r>
        <w:rPr/>
        <w:t xml:space="preserve">, opisane jako </w:t>
      </w:r>
      <w:r>
        <w:rPr>
          <w:i/>
          <w:iCs/>
        </w:rPr>
        <w:t xml:space="preserve">teren komunikacji drogowej publicznej  </w:t>
      </w:r>
      <w:r>
        <w:rPr/>
        <w:t>przeznacza się pod poszerzenia przyległych pasów dróg powiatowych wraz z sieciami i  urządzeniami infrastruktury technicznej oraz niezbędnymi urządzeniami towarzyszącymi.</w:t>
      </w:r>
    </w:p>
    <w:p>
      <w:pPr>
        <w:pStyle w:val="ListParagraph"/>
        <w:numPr>
          <w:ilvl w:val="0"/>
          <w:numId w:val="14"/>
        </w:numPr>
        <w:jc w:val="both"/>
        <w:rPr/>
      </w:pPr>
      <w:r>
        <w:rPr/>
        <w:t>Na terenach, o których mowa w ust. 1 obowiązują następujące ustalenia dotyczące zagospodarowania:</w:t>
      </w:r>
    </w:p>
    <w:p>
      <w:pPr>
        <w:pStyle w:val="Normal"/>
        <w:numPr>
          <w:ilvl w:val="1"/>
          <w:numId w:val="14"/>
        </w:numPr>
        <w:jc w:val="both"/>
        <w:rPr/>
      </w:pPr>
      <w:r>
        <w:rPr/>
        <w:t xml:space="preserve">ustala się szerokości poszerzeń pasów drogowych zgodnie z liniami rozgraniczającymi; </w:t>
      </w:r>
    </w:p>
    <w:p>
      <w:pPr>
        <w:pStyle w:val="Normal"/>
        <w:numPr>
          <w:ilvl w:val="1"/>
          <w:numId w:val="14"/>
        </w:numPr>
        <w:jc w:val="both"/>
        <w:rPr/>
      </w:pPr>
      <w:r>
        <w:rPr/>
        <w:t>w ramach urządzeń towarzyszących, dopuszcza się urządzenie: sieci technicznych,  chodników i ścieżek rowerowych.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Rozdział 4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Zasady dotyczące modernizacji, rozbudowy i budowy infrastruktury technicznej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ind w:hanging="709" w:left="709"/>
        <w:jc w:val="both"/>
        <w:rPr/>
      </w:pPr>
      <w:r>
        <w:rPr>
          <w:b/>
          <w:bCs/>
        </w:rPr>
        <w:t>§17</w:t>
      </w:r>
      <w:r>
        <w:rPr/>
        <w:t>.1.</w:t>
        <w:tab/>
        <w:t xml:space="preserve">Zaopatrzenie w wodę należy realizować w oparciu o rozbudowę istniejącej, rozdzielczej  sieci wodociągowej. </w:t>
      </w:r>
    </w:p>
    <w:p>
      <w:pPr>
        <w:pStyle w:val="Normal"/>
        <w:numPr>
          <w:ilvl w:val="0"/>
          <w:numId w:val="10"/>
        </w:numPr>
        <w:jc w:val="both"/>
        <w:rPr/>
      </w:pPr>
      <w:r>
        <w:rPr/>
        <w:t>Dopuszcza się budowę, rozbudowę i przebudowę rozdzielczej sieci wodociągowej.</w:t>
      </w:r>
    </w:p>
    <w:p>
      <w:pPr>
        <w:pStyle w:val="Normal"/>
        <w:ind w:left="360"/>
        <w:jc w:val="both"/>
        <w:rPr/>
      </w:pPr>
      <w:r>
        <w:rPr/>
      </w:r>
    </w:p>
    <w:p>
      <w:pPr>
        <w:pStyle w:val="Normal"/>
        <w:ind w:hanging="709" w:left="709"/>
        <w:jc w:val="both"/>
        <w:rPr/>
      </w:pPr>
      <w:r>
        <w:rPr>
          <w:b/>
          <w:bCs/>
        </w:rPr>
        <w:t>§18.</w:t>
      </w:r>
      <w:r>
        <w:rPr/>
        <w:t>1.</w:t>
        <w:tab/>
        <w:t xml:space="preserve">W zakresie odprowadzania ścieków oraz gospodarowania wodami opadowymi lub roztopowymi, obowiązują następujące ustalenia: </w:t>
      </w:r>
    </w:p>
    <w:p>
      <w:pPr>
        <w:pStyle w:val="Normal"/>
        <w:numPr>
          <w:ilvl w:val="1"/>
          <w:numId w:val="11"/>
        </w:numPr>
        <w:jc w:val="both"/>
        <w:rPr/>
      </w:pPr>
      <w:r>
        <w:rPr/>
        <w:t>odprowadzanie ścieków  należy realizować w oparciu o rozbudowę istniejącej sieci  kanalizacyjnej;</w:t>
      </w:r>
    </w:p>
    <w:p>
      <w:pPr>
        <w:pStyle w:val="Normal"/>
        <w:numPr>
          <w:ilvl w:val="1"/>
          <w:numId w:val="11"/>
        </w:numPr>
        <w:jc w:val="both"/>
        <w:rPr/>
      </w:pPr>
      <w:r>
        <w:rPr/>
        <w:t xml:space="preserve">dopuszcza się budowę, rozbudowę i przebudowę rozdzielczej sieci kanalizacyjnej wraz z niezbędnymi urządzeniami towarzyszącymi jak przepompownie ścieków. </w:t>
      </w:r>
    </w:p>
    <w:p>
      <w:pPr>
        <w:pStyle w:val="Normal"/>
        <w:numPr>
          <w:ilvl w:val="1"/>
          <w:numId w:val="11"/>
        </w:numPr>
        <w:jc w:val="both"/>
        <w:rPr/>
      </w:pPr>
      <w:r>
        <w:rPr/>
        <w:t>dopuszcza się, z zastrzeżeniem ust. 2, rozprowadzanie wód opadowych i roztopowych na własny teren nieutwardzony, poprzez zachowanie maksymalnie dużych powierzchni nieutwardzonych, a także rozwiązania i urządzenia wodne zapewniające retencję wód opadowych i roztopowych takich jak: doły chłonne, zbiorniki retencyjne, spływy przez powierzchnie zadarnione, na zasadach zgodnych z przepisami odrębnymi.</w:t>
      </w:r>
    </w:p>
    <w:p>
      <w:pPr>
        <w:pStyle w:val="Normal"/>
        <w:numPr>
          <w:ilvl w:val="0"/>
          <w:numId w:val="9"/>
        </w:numPr>
        <w:jc w:val="both"/>
        <w:rPr/>
      </w:pPr>
      <w:r>
        <w:rPr/>
        <w:t>Odprowadzenie wód</w:t>
      </w:r>
      <w:r>
        <w:rPr>
          <w:color w:val="333333"/>
          <w:shd w:fill="FFFFFF" w:val="clear"/>
        </w:rPr>
        <w:t xml:space="preserve"> opadowych lub roztopowych, pochodzących z zanieczyszczonych powierzchni </w:t>
      </w:r>
      <w:r>
        <w:rPr>
          <w:shd w:fill="FFFFFF" w:val="clear"/>
        </w:rPr>
        <w:t xml:space="preserve">szczelnych winno następować zgodnie w wymogami wynikającymi </w:t>
      </w:r>
      <w:r>
        <w:rPr/>
        <w:t xml:space="preserve">z przepisów odrębnych. </w:t>
      </w:r>
    </w:p>
    <w:p>
      <w:pPr>
        <w:pStyle w:val="Normal"/>
        <w:numPr>
          <w:ilvl w:val="0"/>
          <w:numId w:val="9"/>
        </w:numPr>
        <w:jc w:val="both"/>
        <w:rPr/>
      </w:pPr>
      <w:r>
        <w:rPr/>
        <w:t>Od rurociągu tłocznego kanalizacji sanitarnej Ø 110 mm, należy zachować pas wolny od zabudowy i zadrzewień, po 1,5  m od skrajnej krawędzi sieci w obu kierunkach.</w:t>
      </w:r>
    </w:p>
    <w:p>
      <w:pPr>
        <w:pStyle w:val="Normal"/>
        <w:numPr>
          <w:ilvl w:val="0"/>
          <w:numId w:val="9"/>
        </w:numPr>
        <w:jc w:val="both"/>
        <w:rPr/>
      </w:pPr>
      <w:r>
        <w:rPr/>
        <w:t xml:space="preserve">Przy planowaniu zabudowy należy uwzględnić wymogi wynikające z istniejących urządzeń melioracji wodnych w tym sieci drenarskiej. </w:t>
      </w:r>
    </w:p>
    <w:p>
      <w:pPr>
        <w:pStyle w:val="Normal"/>
        <w:jc w:val="both"/>
        <w:rPr/>
      </w:pPr>
      <w:r>
        <w:rPr/>
      </w:r>
      <w:bookmarkStart w:id="3" w:name="_Ref494360956"/>
      <w:bookmarkStart w:id="4" w:name="_Ref494360956"/>
      <w:bookmarkEnd w:id="4"/>
    </w:p>
    <w:p>
      <w:pPr>
        <w:pStyle w:val="Normal"/>
        <w:ind w:hanging="709" w:left="709"/>
        <w:jc w:val="both"/>
        <w:rPr/>
      </w:pPr>
      <w:r>
        <w:rPr>
          <w:b/>
          <w:bCs/>
        </w:rPr>
        <w:t>§19.</w:t>
      </w:r>
      <w:r>
        <w:rPr/>
        <w:t>1.</w:t>
        <w:tab/>
        <w:t xml:space="preserve">Zaopatrzenie w energię elektryczną należy realizować w oparciu o dystrybucyjną sieć elektroenergetyczną. </w:t>
      </w:r>
    </w:p>
    <w:p>
      <w:pPr>
        <w:pStyle w:val="Normal"/>
        <w:numPr>
          <w:ilvl w:val="0"/>
          <w:numId w:val="8"/>
        </w:numPr>
        <w:jc w:val="both"/>
        <w:rPr/>
      </w:pPr>
      <w:r>
        <w:rPr/>
        <w:t>Dopuszcza się, budowę, rozbudowę i przebudowę ( w tym skablowanie) rozdzielczej sieci elektroenergetycznej oraz budowę stacji transformatorowych.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hanging="709" w:left="709"/>
        <w:jc w:val="both"/>
        <w:rPr>
          <w:b/>
          <w:bCs/>
        </w:rPr>
      </w:pPr>
      <w:r>
        <w:rPr>
          <w:b/>
          <w:bCs/>
        </w:rPr>
        <w:t>§20.</w:t>
      </w:r>
      <w:r>
        <w:rPr/>
        <w:tab/>
        <w:t>Ustala się następujące sposoby zaopatrzenia w gaz:</w:t>
      </w:r>
    </w:p>
    <w:p>
      <w:pPr>
        <w:pStyle w:val="Normal"/>
        <w:numPr>
          <w:ilvl w:val="1"/>
          <w:numId w:val="6"/>
        </w:numPr>
        <w:jc w:val="both"/>
        <w:rPr/>
      </w:pPr>
      <w:r>
        <w:rPr/>
        <w:t>ze zbiorników stałych;</w:t>
      </w:r>
    </w:p>
    <w:p>
      <w:pPr>
        <w:pStyle w:val="Normal"/>
        <w:numPr>
          <w:ilvl w:val="1"/>
          <w:numId w:val="6"/>
        </w:numPr>
        <w:jc w:val="both"/>
        <w:rPr/>
      </w:pPr>
      <w:r>
        <w:rPr/>
        <w:t>poprzez budowę, rozbudowę i przebudowę rozdzielczej sieci gazowej, o minimalnej średnicy 25mm.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hanging="709" w:left="709"/>
        <w:jc w:val="both"/>
        <w:rPr/>
      </w:pPr>
      <w:r>
        <w:rPr>
          <w:b/>
          <w:bCs/>
        </w:rPr>
        <w:t>§21.</w:t>
      </w:r>
      <w:r>
        <w:rPr/>
        <w:tab/>
        <w:t>Zaopatrzenie w energię cieplną należy realizować poprzez urządzenia zaopatrzenia w ciepło o wysokiej sprawności grzewczej, z uwzględnieniem ograniczeń i zakazów w zakresie eksploatacji instalacji, w których następuje spalanie paliw, o których mowa w przepisach odrębnych.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ind w:hanging="709" w:left="709"/>
        <w:jc w:val="both"/>
        <w:rPr/>
      </w:pPr>
      <w:r>
        <w:rPr>
          <w:b/>
          <w:bCs/>
        </w:rPr>
        <w:t>§22</w:t>
      </w:r>
      <w:r>
        <w:rPr/>
        <w:tab/>
        <w:t>Dopuszcza się budowę, rozbudowę i przebudowę urządzeń i sieci telekomunikacyjnych.</w:t>
      </w:r>
    </w:p>
    <w:p>
      <w:pPr>
        <w:pStyle w:val="Normal"/>
        <w:ind w:hanging="709" w:left="709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ind w:hanging="709" w:left="709"/>
        <w:jc w:val="both"/>
        <w:rPr/>
      </w:pPr>
      <w:r>
        <w:rPr>
          <w:b/>
          <w:bCs/>
        </w:rPr>
        <w:t>§23.</w:t>
      </w:r>
      <w:r>
        <w:rPr/>
        <w:tab/>
        <w:t>W zakresie magazynowania i zagospodarowania odpadów, obowiązują zasady określone w przepisach odrębnych, w tym aktach prawa miejscowego, dotyczących odpadów oraz utrzymania czystości i porządku na terenie gminy.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Rozdział 5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Przepisy końcowe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ind w:hanging="709" w:left="709"/>
        <w:jc w:val="both"/>
        <w:rPr/>
      </w:pPr>
      <w:r>
        <w:rPr>
          <w:b/>
          <w:bCs/>
        </w:rPr>
        <w:t>§24.</w:t>
      </w:r>
      <w:r>
        <w:rPr/>
        <w:tab/>
        <w:t>Wykonanie uchwały powierza się Wójtowi Gminy Święciechowa.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ind w:hanging="709" w:left="709"/>
        <w:jc w:val="both"/>
        <w:rPr/>
      </w:pPr>
      <w:r>
        <w:rPr>
          <w:b/>
          <w:bCs/>
        </w:rPr>
        <w:t>§25</w:t>
      </w:r>
      <w:r>
        <w:rPr/>
        <w:t>.</w:t>
        <w:tab/>
        <w:t>Uchwała wchodzi w życie po upływie 14 dni od dnia ogłoszenia w Dzienniku Urzędowym Województwa Wielkopolskiego.</w:t>
      </w:r>
    </w:p>
    <w:p>
      <w:pPr>
        <w:pStyle w:val="Normal"/>
        <w:ind w:hanging="709" w:left="709"/>
        <w:jc w:val="both"/>
        <w:rPr/>
      </w:pPr>
      <w:r>
        <w:rPr/>
      </w:r>
    </w:p>
    <w:p>
      <w:pPr>
        <w:pStyle w:val="Normal"/>
        <w:jc w:val="right"/>
        <w:rPr/>
      </w:pPr>
      <w:r>
        <w:rPr/>
        <w:t>Przewodniczący Rady Gminy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  <w:t>………………………………</w:t>
      </w:r>
      <w:r>
        <w:br w:type="page"/>
      </w:r>
    </w:p>
    <w:p>
      <w:pPr>
        <w:pStyle w:val="Normal"/>
        <w:spacing w:before="0" w:after="0"/>
        <w:jc w:val="center"/>
        <w:rPr>
          <w:b/>
          <w:bCs/>
        </w:rPr>
      </w:pPr>
      <w:r>
        <w:rPr>
          <w:b/>
          <w:bCs/>
        </w:rPr>
        <w:t>UZASADNIENIE</w:t>
      </w:r>
    </w:p>
    <w:p>
      <w:pPr>
        <w:pStyle w:val="Normal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do Uchwały Nr …/..../2024  Rady Gminy Lipno  z dnia ………….. 2024 roku</w:t>
        <w:br/>
      </w:r>
      <w:r>
        <w:rPr>
          <w:b/>
        </w:rPr>
        <w:t xml:space="preserve">w </w:t>
      </w:r>
      <w:r>
        <w:rPr>
          <w:b/>
          <w:bCs/>
        </w:rPr>
        <w:t xml:space="preserve"> sprawie miejscowego planu zagospodarowania przestrzennego</w:t>
        <w:br/>
        <w:t>dla działki nr ewid. 182/4 obr. Krzycko Małe, gmina Święciechowa</w:t>
      </w:r>
      <w:r>
        <w:rPr>
          <w:b/>
          <w:sz w:val="22"/>
          <w:szCs w:val="22"/>
        </w:rPr>
        <w:t>.</w:t>
      </w:r>
    </w:p>
    <w:p>
      <w:pPr>
        <w:pStyle w:val="Normal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240"/>
        <w:ind w:firstLine="426"/>
        <w:jc w:val="both"/>
        <w:rPr/>
      </w:pPr>
      <w:r>
        <w:rPr/>
        <w:t xml:space="preserve">Opracowanie niniejszego planu wykonane zostało w oparciu o uchwałę </w:t>
        <w:br/>
        <w:t xml:space="preserve">Nr XLIII/395/2022 Rady Gminy Świeciechowa z dnia 26 kwietnia 2022 r. w sprawie przystąpienia do sporządzenia miejscowego planu zagospodarowania przestrzennego </w:t>
      </w:r>
      <w:r>
        <w:rPr>
          <w:b/>
          <w:bCs/>
        </w:rPr>
        <w:t>dla działki nr ewid. 182/4 obr. Krzycko Małe, gmina Święciechowa</w:t>
      </w:r>
      <w:r>
        <w:rPr/>
        <w:t>.</w:t>
      </w:r>
    </w:p>
    <w:p>
      <w:pPr>
        <w:pStyle w:val="Normal"/>
        <w:spacing w:lineRule="auto" w:line="240"/>
        <w:ind w:firstLine="426"/>
        <w:jc w:val="both"/>
        <w:rPr/>
      </w:pPr>
      <w:r>
        <w:rPr/>
        <w:t xml:space="preserve">Obszar objęty projektem planu zajmuje powierzchnię 9,22 ha i obejmuje wyłącznie jedną działkę o numerze ewidencyjnym 182/4, położoną pomiędzy drogą powiatową 3903P prowadzącą w stronę miejscowości Krzycko Małe, a Jeziorem Krzyckim. Aktualnie działka posiada rolniczy charakter i jest użytkowana w formie łąki. Część obszaru opracowania, a w szczególności przyległa do linii brzegowej jeziora jest zadrzewiona. Ponadto na obszarze opracowania występuje napowietrzna linia średniego napięcia, biegnąca równolegle do drogi powiatowej, a także odcinek linii napowietrznej wysokiego napięcia, który przecina obszar planu w jego południowej części. Obszar opracowania nie jest objęty obowiązującymi miejscowymi planami zagospodarowania przestrzennego. </w:t>
      </w:r>
    </w:p>
    <w:p>
      <w:pPr>
        <w:pStyle w:val="Normal"/>
        <w:spacing w:lineRule="auto" w:line="240"/>
        <w:ind w:firstLine="426"/>
        <w:jc w:val="both"/>
        <w:rPr/>
      </w:pPr>
      <w:r>
        <w:rPr/>
        <w:t xml:space="preserve">Głównym celem planu jest ustalenie przeznaczenie terenu pod lokalizację usług sportu i  rekreacji oraz usług turystyki. Dodatkowo wskazano teren predysponowany pod lokalizację niezbędnych parkingów terenowych (oznaczony symbolem 1US-KOP). Należy podkreślić, że formy zieleni urządzonej zostały uznane jako równorzędne przeznaczenie dla znacznej części obszaru planu (na terenie oznaczonym symbolem 1US-UT-ZP). Dodatkowo wzdłuż linii brzegowej wyznaczono strefę zieleni nadbrzeżnej, gdzie wprowadzono ustalenia zmierzające do zachowania istniejącej zieleni wysokiej. </w:t>
      </w:r>
    </w:p>
    <w:p>
      <w:pPr>
        <w:pStyle w:val="Normal"/>
        <w:spacing w:lineRule="auto" w:line="240"/>
        <w:ind w:firstLine="426"/>
        <w:jc w:val="both"/>
        <w:rPr/>
      </w:pPr>
      <w:r>
        <w:rPr/>
        <w:t>Przeznaczenia terenu związane z usługami umożliwić mają realizację rozmaitych obiektów sportu, rekreacji i turystyki. Ustalenia planu dopuszczają zarówno obiekty o charakterze kubaturowym ( hale i sale gimnastyczne), jaki i w formie terenowych urządzeń (boiska, korty, bieżnie itp.). W zakresie usług turystyki określono zagospodarowanie takie jak: mariny, motele hotele, schroniska młodzieżowe, domy wczasowe, plaże, pola biwakowe i kempingi. Tym samym obszar objęty opracowaniem planu stanowić będzie miejsce realizacji usług, w dużej mierze o charakterze publicznym, związanym z rozwojem i podnoszeniem standardów życia mieszkańców gminy.</w:t>
      </w:r>
    </w:p>
    <w:p>
      <w:pPr>
        <w:pStyle w:val="Normal"/>
        <w:spacing w:lineRule="auto" w:line="240"/>
        <w:ind w:firstLine="426"/>
        <w:jc w:val="both"/>
        <w:rPr/>
      </w:pPr>
      <w:r>
        <w:rPr/>
        <w:t>W przedmiotowym planie wyznaczono następujące tereny oznaczone symbolami:</w:t>
      </w:r>
    </w:p>
    <w:p>
      <w:pPr>
        <w:pStyle w:val="ListParagraph"/>
        <w:numPr>
          <w:ilvl w:val="0"/>
          <w:numId w:val="27"/>
        </w:numPr>
        <w:tabs>
          <w:tab w:val="clear" w:pos="709"/>
          <w:tab w:val="left" w:pos="1134" w:leader="none"/>
        </w:tabs>
        <w:suppressAutoHyphens w:val="false"/>
        <w:overflowPunct w:val="true"/>
        <w:spacing w:lineRule="auto" w:line="240"/>
        <w:rPr/>
      </w:pPr>
      <w:r>
        <w:rPr>
          <w:b/>
          <w:bCs/>
        </w:rPr>
        <w:t>US-UT-ZP</w:t>
      </w:r>
      <w:r>
        <w:rPr/>
        <w:t xml:space="preserve">– </w:t>
      </w:r>
      <w:r>
        <w:rPr>
          <w:i/>
        </w:rPr>
        <w:t>teren usług sportu i rekreacji lub usług turystyki lub zieleni urządzonej,</w:t>
      </w:r>
      <w:r>
        <w:rPr/>
        <w:t xml:space="preserve"> </w:t>
      </w:r>
    </w:p>
    <w:p>
      <w:pPr>
        <w:pStyle w:val="ListParagraph"/>
        <w:numPr>
          <w:ilvl w:val="0"/>
          <w:numId w:val="27"/>
        </w:numPr>
        <w:tabs>
          <w:tab w:val="clear" w:pos="709"/>
          <w:tab w:val="left" w:pos="1134" w:leader="none"/>
        </w:tabs>
        <w:suppressAutoHyphens w:val="false"/>
        <w:overflowPunct w:val="true"/>
        <w:spacing w:lineRule="auto" w:line="240"/>
        <w:rPr/>
      </w:pPr>
      <w:r>
        <w:rPr>
          <w:b/>
          <w:bCs/>
        </w:rPr>
        <w:t>US-KOP</w:t>
      </w:r>
      <w:r>
        <w:rPr>
          <w:bCs/>
        </w:rPr>
        <w:t xml:space="preserve"> </w:t>
      </w:r>
      <w:r>
        <w:rPr/>
        <w:t xml:space="preserve">– </w:t>
      </w:r>
      <w:r>
        <w:rPr>
          <w:i/>
        </w:rPr>
        <w:t>teren usług sportu i rekreacji lub parkingu,</w:t>
      </w:r>
    </w:p>
    <w:p>
      <w:pPr>
        <w:pStyle w:val="ListParagraph"/>
        <w:numPr>
          <w:ilvl w:val="0"/>
          <w:numId w:val="27"/>
        </w:numPr>
        <w:tabs>
          <w:tab w:val="clear" w:pos="709"/>
          <w:tab w:val="left" w:pos="1134" w:leader="none"/>
        </w:tabs>
        <w:suppressAutoHyphens w:val="false"/>
        <w:overflowPunct w:val="true"/>
        <w:spacing w:lineRule="auto" w:line="240"/>
        <w:rPr/>
      </w:pPr>
      <w:r>
        <w:rPr>
          <w:b/>
          <w:bCs/>
        </w:rPr>
        <w:t>KD</w:t>
      </w:r>
      <w:r>
        <w:rPr>
          <w:bCs/>
        </w:rPr>
        <w:t xml:space="preserve"> </w:t>
      </w:r>
      <w:r>
        <w:rPr/>
        <w:t xml:space="preserve">– </w:t>
      </w:r>
      <w:r>
        <w:rPr>
          <w:i/>
        </w:rPr>
        <w:t>teren komunikacji drogowej publicznej.</w:t>
      </w:r>
    </w:p>
    <w:p>
      <w:pPr>
        <w:pStyle w:val="Normal"/>
        <w:spacing w:lineRule="auto" w:line="240"/>
        <w:ind w:firstLine="426"/>
        <w:jc w:val="both"/>
        <w:rPr/>
      </w:pPr>
      <w:r>
        <w:rPr/>
      </w:r>
    </w:p>
    <w:p>
      <w:pPr>
        <w:pStyle w:val="Normal"/>
        <w:spacing w:lineRule="auto" w:line="240"/>
        <w:ind w:firstLine="426"/>
        <w:jc w:val="both"/>
        <w:rPr/>
      </w:pPr>
      <w:r>
        <w:rPr/>
        <w:t xml:space="preserve">Należy podkreślić, że ustalone w planie przeznaczenia są w pełni zgodne z kierunkami zagospodarowania, określonymi w obowiązującym Studium uwarunkowań i kierunków zagospodarowania przestrzennego Gminy Święciechowa (przyjętym uchwałą Nr  </w:t>
      </w:r>
      <w:r>
        <w:rPr>
          <w:sz w:val="24"/>
        </w:rPr>
        <w:t xml:space="preserve">XXXV/263/2017 Rady Gminy Święciechowa z dnia 26 października 2017 r. i zmienionym Uchwałami Nr </w:t>
      </w:r>
      <w:r>
        <w:rPr/>
        <w:t>XXI/190/2020 Rady Gminy Święciechowa z dnia 23 lipca 2020 r. i  LXXI/617/2024 Rady Gminy Święciechowa z dnia 26 marca 2024 r.), uchwala się, co następuje:), gdzie obszar planu został predysponowany do lokalizacji usług sportu, rekreacji i turystyki oraz komunikacji samochodowej ( oznaczenie w Studium „Us/Ks”).</w:t>
      </w:r>
    </w:p>
    <w:p>
      <w:pPr>
        <w:pStyle w:val="Normal"/>
        <w:spacing w:lineRule="auto" w:line="240"/>
        <w:ind w:firstLine="426"/>
        <w:jc w:val="both"/>
        <w:rPr/>
      </w:pPr>
      <w:r>
        <w:rPr/>
      </w:r>
    </w:p>
    <w:p>
      <w:pPr>
        <w:pStyle w:val="Default"/>
        <w:spacing w:lineRule="auto" w:line="240"/>
        <w:jc w:val="center"/>
        <w:rPr/>
      </w:pPr>
      <w:r>
        <w:rPr>
          <w:b/>
          <w:color w:val="auto"/>
        </w:rPr>
        <w:t xml:space="preserve">Sposób realizacji wymogów wynikających z art. 1 ust. 2-4 ustawy </w:t>
      </w:r>
      <w:r>
        <w:rPr>
          <w:b/>
          <w:bCs/>
          <w:color w:val="auto"/>
        </w:rPr>
        <w:t>o planowaniu</w:t>
        <w:br/>
        <w:t>i zagospodarowaniu przestrzennym</w:t>
      </w:r>
    </w:p>
    <w:p>
      <w:pPr>
        <w:pStyle w:val="Default"/>
        <w:spacing w:lineRule="auto" w:line="240"/>
        <w:rPr/>
      </w:pPr>
      <w:r>
        <w:rPr>
          <w:color w:val="auto"/>
        </w:rPr>
        <w:t xml:space="preserve">W planie miejscowym uwzględniono: 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>
          <w:color w:val="auto"/>
        </w:rPr>
        <w:t>wymagania ładu przestrzennego, w tym urbanistyki i architektury oraz walory architektoniczne i krajobrazowe -  poprzez określenie funkcji, która może być realizowana na wyznaczonym terenie, a także poprzez wyznaczenie wskaźników i parametrów określających charakter zagospodarowania i gabaryty zabudowy z uwzględnieniem istniejącego i planowanego otoczenia;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>
          <w:color w:val="auto"/>
        </w:rPr>
        <w:t xml:space="preserve">wymagania ochrony środowiska, w tym gospodarowania wodami i ochrony gruntów rolnych i leśnych - poprzez ograniczenie dopuszczalnych przeznaczeń terenu, określenie sposobu gospodarowania wodami opadowymi i roztopowymi, należyte zabezpieczenie środowiska gruntowo-wodnego, a także poprzez określenie sposobu zaopatrzenia w ciepło; Jednocześnie z uwagi występowanie gruntów rolnych III klasy bonitacyjnej (ŁIII, RIIIb) opracowanie planu wymaga uzyskania zgody właściwego ministra na zmianę przeznaczenia gruntów rolnych na cele nierolnicze i nieleśne, o której mowa przepisach prawa; 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>
          <w:color w:val="auto"/>
        </w:rPr>
        <w:t>wymagania ochrony dziedzictwa kulturowego i zabytków oraz dóbr kultury współczesnej poprzez ustanowienie stref ochrony konserwatorskiej:</w:t>
      </w:r>
    </w:p>
    <w:p>
      <w:pPr>
        <w:pStyle w:val="Default"/>
        <w:numPr>
          <w:ilvl w:val="0"/>
          <w:numId w:val="28"/>
        </w:numPr>
        <w:spacing w:lineRule="auto" w:line="240"/>
        <w:ind w:hanging="283" w:left="709"/>
        <w:jc w:val="both"/>
        <w:rPr/>
      </w:pPr>
      <w:r>
        <w:rPr>
          <w:color w:val="auto"/>
        </w:rPr>
        <w:t>krajobrazu kulturowego wokół Jeziora Krzyckiego,</w:t>
      </w:r>
    </w:p>
    <w:p>
      <w:pPr>
        <w:pStyle w:val="Default"/>
        <w:numPr>
          <w:ilvl w:val="0"/>
          <w:numId w:val="28"/>
        </w:numPr>
        <w:spacing w:lineRule="auto" w:line="240"/>
        <w:ind w:firstLine="142" w:left="284"/>
        <w:jc w:val="both"/>
        <w:rPr/>
      </w:pPr>
      <w:r>
        <w:rPr>
          <w:color w:val="auto"/>
        </w:rPr>
        <w:t>układu architektoniczno-przestrzennego miejscowości Krzycko Małe,</w:t>
        <w:tab/>
        <w:br/>
        <w:t xml:space="preserve">w których obowiązują ograniczenia związane z wysokością zabudowy i formy kształtowania dachów; 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/>
        <w:t>wymagania ochrony zdrowia oraz bezpieczeństwa ludzi i mienia, a także potrzeby osób ze szczególnymi potrzebami</w:t>
      </w:r>
      <w:r>
        <w:rPr>
          <w:color w:val="auto"/>
        </w:rPr>
        <w:t xml:space="preserve"> - poprzez ograniczenie dopuszczalnych działalności na wybranych terenach, a także poprzez wskazanie na konieczność zapewnienia odpowiedniej liczby miejsc postojowych dla pojazdów wyposażonych w kartę parkingową, a także brak ustaleń mogących mieć negatywny wpływ na potrzeby osób niepełnosprawnych; 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>
          <w:color w:val="auto"/>
        </w:rPr>
        <w:t>walory ekonomiczne przestrzeni - poprzez rozmieszczenie funkcji w zgodzie</w:t>
        <w:br/>
        <w:t>z uwarunkowaniami ekonomicznymi, w szczególności poprzez umożliwienie (na podstawie zapisów planu ) nieodpłatnego przejęcia gruntu KOWR-u na rzecz gminy;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>
          <w:color w:val="auto"/>
        </w:rPr>
        <w:t>prawo własności – poprzez zachowanie możliwości dalszego korzystania z nieruchomości w dotychczasowy sposób lub zgodny z dotychczasowym przeznaczeniem, a także rozszerzenie możliwości wykorzystania terenu poprzez umożliwienie nowych form zagospodarowania zgodnie z ustaleniami planu;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>
          <w:color w:val="auto"/>
        </w:rPr>
        <w:t>potrzeby obronności i bezpieczeństwa państwa – poprzez brak ustaleń, mogących mieć negatywny wpływ na potrzeby obronności i bezpieczeństwa państwa, co zostało potwierdzone uzyskanymi uzgodnieniami projektu planu z właściwymi organami;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>
          <w:color w:val="auto"/>
        </w:rPr>
        <w:t>potrzeby interesu publicznego - poprzez uznanie obszaru opracowania planu przestrzenią publiczną dla realizacji inwestycji celu publicznego o znaczeniu lokalnym;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>
          <w:color w:val="auto"/>
        </w:rPr>
        <w:t>potrzeby w zakresie rozwoju infrastruktury technicznej, w szczególności sieci szerokopasmowych - poprzez ustalenia dotyczące realizacji obiektów sieci infrastruktury technicznej, w tym  dopuszczenie budowy, rozbudowy i przebudowy sieci telekomunikacyjnych zgodnie z parametrami ustalonymi w niniejszym planie;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>
          <w:color w:val="auto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oraz ogłoszenia w lokalnej prasie, a także na stronach internetowych urzędu informacji o przystąpieniu do sporządzenia projektu miejscowego planu zagospodarowania przestrzennego oraz o możliwości składania wniosków, a także poprzez informacje o wyłożeniu projektu planu wraz z prognozą do publicznego wglądu, dyskusji publicznej oraz możliwości składania uwag do sporządzanego projektu;</w:t>
      </w:r>
    </w:p>
    <w:p>
      <w:pPr>
        <w:pStyle w:val="Default"/>
        <w:numPr>
          <w:ilvl w:val="0"/>
          <w:numId w:val="26"/>
        </w:numPr>
        <w:spacing w:lineRule="auto" w:line="240"/>
        <w:ind w:hanging="360" w:left="284"/>
        <w:jc w:val="both"/>
        <w:rPr/>
      </w:pPr>
      <w:r>
        <w:rPr>
          <w:color w:val="auto"/>
        </w:rPr>
        <w:t>potrzebę zapewnienia odpowiedniej ilości i jakości wody, do celów zaopatrzenia ludności – poprzez ustalenia dotyczące należytego zabezpieczenia środowiska gruntowo-wodnego oraz ustalenia dot. realizacji urządzeń infrastruktury technicznej w zakresie zaopatrzenia w wodę i odprowadzania ścieków.</w:t>
      </w:r>
    </w:p>
    <w:p>
      <w:pPr>
        <w:pStyle w:val="USTustnpkodeksu"/>
        <w:spacing w:lineRule="auto" w:line="240"/>
        <w:ind w:firstLine="284"/>
        <w:rPr/>
      </w:pPr>
      <w:r>
        <w:rPr>
          <w:rFonts w:cs="Times New Roman" w:ascii="Times New Roman" w:hAnsi="Times New Roman"/>
        </w:rPr>
        <w:t>Przy ustaleniu przeznaczenia poszczególnych terenów oraz określeniu zasad jego zagospodarowania, Wójt uwzględnił złożone do planu wnioski, uwarunkowania ekonomiczne, środowiskowe i społeczne oraz wagę interesu publicznego i prywatnego.</w:t>
        <w:br/>
      </w:r>
      <w:r>
        <w:rPr>
          <w:rFonts w:cs="Times New Roman" w:ascii="Times New Roman" w:hAnsi="Times New Roman"/>
          <w:color w:val="000000"/>
          <w:shd w:fill="auto" w:val="clear"/>
        </w:rPr>
        <w:t>Podczas procedury wyłożenia projektu miejscowego planu zagospodarowania przestrzennego wraz z prognozą oddziaływania na środowisko do publicznego wglądu nie złożono żadnych uwag. W związku z brakiem uwag nie wystąpiła potrzeba rozstrzygnięć w tej kwestii.</w:t>
      </w:r>
    </w:p>
    <w:p>
      <w:pPr>
        <w:pStyle w:val="USTustnpkodeksu"/>
        <w:spacing w:lineRule="auto" w:line="240"/>
        <w:rPr/>
      </w:pPr>
      <w:r>
        <w:rPr>
          <w:rFonts w:cs="Times New Roman" w:ascii="Times New Roman" w:hAnsi="Times New Roman"/>
        </w:rPr>
        <w:t xml:space="preserve">Przy planowaniu i lokalizowaniu nowego zagospodarowania w tym nowej zabudowy, uwzględniono wymogi  wynikające z art. 1 ust. 4. </w:t>
      </w:r>
    </w:p>
    <w:p>
      <w:pPr>
        <w:pStyle w:val="USTustnpkodeksu"/>
        <w:spacing w:lineRule="auto" w:line="240"/>
        <w:rPr/>
      </w:pPr>
      <w:r>
        <w:rPr>
          <w:rFonts w:cs="Times New Roman" w:ascii="Times New Roman" w:hAnsi="Times New Roman"/>
        </w:rPr>
        <w:t xml:space="preserve">W zakresie: </w:t>
      </w:r>
    </w:p>
    <w:p>
      <w:pPr>
        <w:pStyle w:val="PKTpunkt"/>
        <w:numPr>
          <w:ilvl w:val="0"/>
          <w:numId w:val="25"/>
        </w:numPr>
        <w:spacing w:lineRule="auto" w:line="240"/>
        <w:rPr/>
      </w:pPr>
      <w:r>
        <w:rPr>
          <w:rFonts w:cs="Times New Roman" w:ascii="Times New Roman" w:hAnsi="Times New Roman"/>
        </w:rPr>
        <w:t>kształtowania struktur przestrzennych przy uwzględnieniu dążenia do minimalizowania transportochłonności układu przestrzennego - w planie założono obsługę terenów z bezpośrednio przyległej drogi powiatowej (</w:t>
      </w:r>
      <w:r>
        <w:rPr/>
        <w:t>3903P</w:t>
      </w:r>
      <w:r>
        <w:rPr>
          <w:rFonts w:cs="Times New Roman" w:ascii="Times New Roman" w:hAnsi="Times New Roman"/>
        </w:rPr>
        <w:t>), tym samym nie zachodziła potrzeba wyznaczania dodatkowych terenów komunikacji;</w:t>
      </w:r>
    </w:p>
    <w:p>
      <w:pPr>
        <w:pStyle w:val="PKTpunkt"/>
        <w:numPr>
          <w:ilvl w:val="0"/>
          <w:numId w:val="25"/>
        </w:numPr>
        <w:spacing w:lineRule="auto" w:line="240"/>
        <w:rPr/>
      </w:pPr>
      <w:r>
        <w:rPr>
          <w:rFonts w:cs="Times New Roman" w:ascii="Times New Roman" w:hAnsi="Times New Roman"/>
        </w:rPr>
        <w:t>lokalizowania nowej zabudowy mieszkaniowej w sposób umożliwiający mieszkańcom maksymalne wykorzystanie publicznego transportu zbiorowego jako podstawowego środka transportu - w planie nie ustala się terenów przeznaczonych pod realizację zabudowy mieszkaniowej, jednocześnie nie wprowadzono ustaleń mogących pogorszyć możliwość funkcjonowania komunikacji publicznej;</w:t>
      </w:r>
    </w:p>
    <w:p>
      <w:pPr>
        <w:pStyle w:val="PKTpunkt"/>
        <w:numPr>
          <w:ilvl w:val="0"/>
          <w:numId w:val="25"/>
        </w:numPr>
        <w:spacing w:lineRule="auto" w:line="240"/>
        <w:rPr/>
      </w:pPr>
      <w:r>
        <w:rPr>
          <w:rFonts w:cs="Times New Roman" w:ascii="Times New Roman" w:hAnsi="Times New Roman"/>
        </w:rPr>
        <w:t>zapewniania rozwiązań przestrzennych, ułatwiających przemieszczanie się pieszych</w:t>
        <w:br/>
        <w:t xml:space="preserve">i rowerzystów – w planie założono obsługę terenów z bezpośrednio przyległych, służących zarówno pieszym jak i rowerzystom. </w:t>
      </w:r>
    </w:p>
    <w:p>
      <w:pPr>
        <w:pStyle w:val="PKTpunkt"/>
        <w:spacing w:lineRule="auto" w:line="240"/>
        <w:ind w:firstLine="348" w:left="3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PKTpunkt"/>
        <w:spacing w:lineRule="auto" w:line="240"/>
        <w:ind w:firstLine="348" w:left="360"/>
        <w:rPr/>
      </w:pPr>
      <w:r>
        <w:rPr>
          <w:rFonts w:cs="Times New Roman" w:ascii="Times New Roman" w:hAnsi="Times New Roman"/>
        </w:rPr>
        <w:t>Przedmiotowy plan, w cz. północnej,  obejmuje tereny położone w bliskim i bezpośrednim sąsiedztwie zabudowań. Tym samym planowane uzupełnienia zabudowy, wyznaczone wyłącznie od strony istniejącej zabudowy, dążą do wykształcenia pełnej, zwartej struktury funkcjonalno-przestrzennej w granicach jednostki osadniczej, gdzie dalszy rozwój opiera się na przebudowie, rozbudowie, a także uzupełnieniu istniejącej zabudowy.</w:t>
      </w:r>
    </w:p>
    <w:p>
      <w:pPr>
        <w:pStyle w:val="LITlitera"/>
        <w:spacing w:lineRule="auto" w:line="240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360"/>
        <w:ind w:firstLine="426"/>
        <w:jc w:val="center"/>
        <w:rPr>
          <w:b/>
        </w:rPr>
      </w:pPr>
      <w:r>
        <w:rPr>
          <w:b/>
        </w:rPr>
        <w:t xml:space="preserve">Zgodność z wynikami analizy zmian w zagospodarowaniu przestrzennym gminy, </w:t>
        <w:br/>
        <w:t xml:space="preserve">o których mowa w art. </w:t>
      </w:r>
      <w:r>
        <w:rPr>
          <w:b/>
          <w:bCs/>
        </w:rPr>
        <w:t>32 ust. 2 ustawy z dnia 27 marca 2003 roku o planowaniu</w:t>
        <w:br/>
        <w:t>i zagospodarowaniu przestrzennym</w:t>
      </w:r>
    </w:p>
    <w:p>
      <w:pPr>
        <w:pStyle w:val="BodyText2"/>
        <w:tabs>
          <w:tab w:val="clear" w:pos="709"/>
          <w:tab w:val="left" w:pos="0" w:leader="none"/>
        </w:tabs>
        <w:spacing w:lineRule="auto" w:line="240" w:before="0" w:after="0"/>
        <w:ind w:firstLine="567"/>
        <w:jc w:val="both"/>
        <w:rPr/>
      </w:pPr>
      <w:r>
        <w:rPr/>
        <w:t>Przy opracowaniu projektu planu uwzględniono wyniki analizy, o której mowa art. 32 ust. 1 ustawy o planowaniu i zagospodarowaniu przestrzennym – zgodnie z dokonaną oceną dotyczącą aktualności Studium uwarunkowań i kierunków zagospodarowania przestrzennego Gminy Święciechowa oraz aktualności miejscowych planów zagospodarowania przestrzennego.</w:t>
      </w:r>
    </w:p>
    <w:p>
      <w:pPr>
        <w:pStyle w:val="BodyText2"/>
        <w:tabs>
          <w:tab w:val="clear" w:pos="709"/>
          <w:tab w:val="left" w:pos="284" w:leader="none"/>
          <w:tab w:val="left" w:pos="567" w:leader="none"/>
        </w:tabs>
        <w:spacing w:lineRule="auto" w:line="240" w:before="0" w:after="0"/>
        <w:ind w:hanging="284" w:left="284"/>
        <w:jc w:val="center"/>
        <w:rPr>
          <w:b/>
        </w:rPr>
      </w:pPr>
      <w:r>
        <w:rPr>
          <w:b/>
        </w:rPr>
      </w:r>
    </w:p>
    <w:p>
      <w:pPr>
        <w:pStyle w:val="BodyText2"/>
        <w:tabs>
          <w:tab w:val="clear" w:pos="709"/>
          <w:tab w:val="left" w:pos="284" w:leader="none"/>
          <w:tab w:val="left" w:pos="567" w:leader="none"/>
        </w:tabs>
        <w:spacing w:lineRule="auto" w:line="240" w:before="0" w:after="0"/>
        <w:ind w:hanging="284" w:left="284"/>
        <w:jc w:val="center"/>
        <w:rPr/>
      </w:pPr>
      <w:r>
        <w:rPr>
          <w:b/>
        </w:rPr>
        <w:t>Wpływ na finanse publiczne,  w tym budżet gminy.</w:t>
      </w:r>
    </w:p>
    <w:p>
      <w:pPr>
        <w:pStyle w:val="BodyText2"/>
        <w:tabs>
          <w:tab w:val="clear" w:pos="709"/>
          <w:tab w:val="left" w:pos="0" w:leader="none"/>
        </w:tabs>
        <w:spacing w:lineRule="auto" w:line="240" w:before="0" w:after="0"/>
        <w:ind w:firstLine="567"/>
        <w:jc w:val="both"/>
        <w:rPr/>
      </w:pPr>
      <w:r>
        <w:rPr/>
        <w:t>Na dochody Gminy Święciechowa wynikające z uchwalenia miejscowego planu zagospodarowania przestrzennego, składać się będą podatki od nieruchomości, a także opłata planistyczna, możliwa do pobrania w przypadku zbycia nieruchomości przez właścicieli</w:t>
        <w:br/>
        <w:t xml:space="preserve">w przeciągu 5 lat od dnia uprawomocnienia się planu. </w:t>
      </w:r>
    </w:p>
    <w:p>
      <w:pPr>
        <w:pStyle w:val="BodyText2"/>
        <w:tabs>
          <w:tab w:val="clear" w:pos="709"/>
          <w:tab w:val="left" w:pos="0" w:leader="none"/>
        </w:tabs>
        <w:spacing w:lineRule="auto" w:line="240" w:before="0" w:after="0"/>
        <w:ind w:firstLine="567"/>
        <w:jc w:val="both"/>
        <w:rPr/>
      </w:pPr>
      <w:r>
        <w:rPr/>
        <w:t>Z uwagi na charakter i planowany sposób zagospodarowania, urządzania i użytkowania obszaru objętego opracowaniem, z ustaleń planu nie wynikają wprost nowe inwestycje</w:t>
        <w:br/>
        <w:t>z zakresu infrastruktury technicznej, które należą do zadań własnych gminy. W planie nie przewiduje się również realizacji inwestycji, które wymagają wykupów nowych terenów pod komunikację publiczną.</w:t>
      </w:r>
    </w:p>
    <w:p>
      <w:pPr>
        <w:pStyle w:val="BodyText2"/>
        <w:tabs>
          <w:tab w:val="clear" w:pos="709"/>
          <w:tab w:val="left" w:pos="0" w:leader="none"/>
        </w:tabs>
        <w:spacing w:lineRule="auto" w:line="240" w:before="0" w:after="0"/>
        <w:ind w:firstLine="567"/>
        <w:jc w:val="both"/>
        <w:rPr/>
      </w:pPr>
      <w:r>
        <w:rPr/>
      </w:r>
    </w:p>
    <w:p>
      <w:pPr>
        <w:pStyle w:val="BodyText2"/>
        <w:tabs>
          <w:tab w:val="clear" w:pos="709"/>
          <w:tab w:val="left" w:pos="0" w:leader="none"/>
        </w:tabs>
        <w:spacing w:lineRule="auto" w:line="240" w:before="0" w:after="0"/>
        <w:ind w:firstLine="567"/>
        <w:jc w:val="both"/>
        <w:rPr/>
      </w:pPr>
      <w:r>
        <w:rPr/>
        <w:t>Podsumowując powyższe stwierdzenia można uznać, że przyjęcie uchwały w sprawie przedmiotowego planu jest zasadne i stanowić będzie podstawę do realizacji zamierzeń inwestycyjnych, spójnych z wyznaczonymi kierunkami polityki przestrzennej Gminy Święciechowa.</w:t>
      </w:r>
    </w:p>
    <w:p>
      <w:pPr>
        <w:pStyle w:val="Normal"/>
        <w:spacing w:lineRule="auto" w:line="240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BodyText2"/>
        <w:tabs>
          <w:tab w:val="clear" w:pos="709"/>
          <w:tab w:val="left" w:pos="284" w:leader="none"/>
          <w:tab w:val="left" w:pos="567" w:leader="none"/>
        </w:tabs>
        <w:spacing w:lineRule="auto" w:line="360" w:before="0" w:after="0"/>
        <w:ind w:hanging="284" w:left="284"/>
        <w:jc w:val="right"/>
        <w:rPr/>
      </w:pPr>
      <w:r>
        <w:rPr/>
        <w:t>...............................................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righ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8" w:right="1418" w:gutter="0" w:header="709" w:top="1418" w:footer="709" w:bottom="1418"/>
      <w:pgNumType w:start="1" w:fmt="decimal"/>
      <w:formProt w:val="false"/>
      <w:textDirection w:val="lrTb"/>
      <w:docGrid w:type="default" w:linePitch="24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Open Sans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13</w:t>
    </w:r>
    <w:r>
      <w:rPr/>
      <w:fldChar w:fldCharType="end"/>
    </w:r>
  </w:p>
  <w:p>
    <w:pPr>
      <w:pStyle w:val="Footer"/>
      <w:ind w:right="36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b/>
        <w:bCs/>
        <w:i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false"/>
        <w:bCs w:val="fals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338"/>
        </w:tabs>
        <w:ind w:left="1778" w:hanging="360"/>
      </w:pPr>
      <w:rPr/>
    </w:lvl>
    <w:lvl w:ilvl="3">
      <w:start w:val="1"/>
      <w:numFmt w:val="decimal"/>
      <w:lvlText w:val="(%4)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348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428" w:hanging="360"/>
      </w:pPr>
      <w:rPr/>
    </w:lvl>
    <w:lvl w:ilvl="2">
      <w:start w:val="1"/>
      <w:numFmt w:val="lowerRoman"/>
      <w:lvlText w:val="%3."/>
      <w:lvlJc w:val="left"/>
      <w:pPr>
        <w:tabs>
          <w:tab w:val="num" w:pos="348"/>
        </w:tabs>
        <w:ind w:left="1788" w:hanging="360"/>
      </w:pPr>
      <w:rPr/>
    </w:lvl>
    <w:lvl w:ilvl="3">
      <w:start w:val="1"/>
      <w:numFmt w:val="decimal"/>
      <w:lvlText w:val="%4."/>
      <w:lvlJc w:val="left"/>
      <w:pPr>
        <w:tabs>
          <w:tab w:val="num" w:pos="348"/>
        </w:tabs>
        <w:ind w:left="214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48"/>
        </w:tabs>
        <w:ind w:left="2508" w:hanging="360"/>
      </w:pPr>
      <w:rPr/>
    </w:lvl>
    <w:lvl w:ilvl="5">
      <w:start w:val="1"/>
      <w:numFmt w:val="lowerRoman"/>
      <w:lvlText w:val="%6."/>
      <w:lvlJc w:val="left"/>
      <w:pPr>
        <w:tabs>
          <w:tab w:val="num" w:pos="348"/>
        </w:tabs>
        <w:ind w:left="2868" w:hanging="360"/>
      </w:pPr>
      <w:rPr/>
    </w:lvl>
    <w:lvl w:ilvl="6">
      <w:start w:val="1"/>
      <w:numFmt w:val="decimal"/>
      <w:lvlText w:val="%7."/>
      <w:lvlJc w:val="left"/>
      <w:pPr>
        <w:tabs>
          <w:tab w:val="num" w:pos="348"/>
        </w:tabs>
        <w:ind w:left="322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48"/>
        </w:tabs>
        <w:ind w:left="3588" w:hanging="360"/>
      </w:pPr>
      <w:rPr/>
    </w:lvl>
    <w:lvl w:ilvl="8">
      <w:start w:val="1"/>
      <w:numFmt w:val="lowerRoman"/>
      <w:lvlText w:val="%9."/>
      <w:lvlJc w:val="left"/>
      <w:pPr>
        <w:tabs>
          <w:tab w:val="num" w:pos="348"/>
        </w:tabs>
        <w:ind w:left="3948" w:hanging="360"/>
      </w:pPr>
      <w:rPr/>
    </w:lvl>
  </w:abstractNum>
  <w:abstractNum w:abstractNumId="6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 w:val="false"/>
        <w:bCs w:val="fals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2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(%4)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8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 w:val="false"/>
        <w:bCs w:val="fals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2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9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 w:val="false"/>
        <w:bCs w:val="fals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2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0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 w:val="false"/>
        <w:bCs w:val="fals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2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1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 w:val="false"/>
        <w:bCs w:val="fals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2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2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 w:val="false"/>
        <w:bCs w:val="fals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2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dstrike w:val="false"/>
        <w:strike w:val="false"/>
        <w:sz w:val="24"/>
        <w:b/>
        <w:szCs w:val="24"/>
        <w:bCs w:val="fals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/>
    </w:lvl>
  </w:abstractNum>
  <w:abstractNum w:abstractNumId="14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 w:val="false"/>
        <w:bCs w:val="fals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2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5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(%4)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6">
    <w:lvl w:ilvl="0">
      <w:start w:val="1"/>
      <w:numFmt w:val="decimal"/>
      <w:lvlText w:val="%1)"/>
      <w:lvlJc w:val="left"/>
      <w:pPr>
        <w:tabs>
          <w:tab w:val="num" w:pos="862"/>
        </w:tabs>
        <w:ind w:left="862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false"/>
        <w:bCs w:val="false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false"/>
        <w:bCs w:val="false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4"/>
      <w:numFmt w:val="decimal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(%4)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19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 w:val="false"/>
        <w:bCs w:val="fals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2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20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(%4)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338"/>
        </w:tabs>
        <w:ind w:left="1778" w:hanging="360"/>
      </w:pPr>
      <w:rPr/>
    </w:lvl>
    <w:lvl w:ilvl="3">
      <w:start w:val="1"/>
      <w:numFmt w:val="decimal"/>
      <w:lvlText w:val="(%4)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22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(%4)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1.%2.%3.%4.%5.%6.%7.%8.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/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false"/>
        <w:bCs w:val="false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false"/>
        <w:bCs w:val="false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27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dstrike w:val="false"/>
        <w:strike w:val="false"/>
        <w:sz w:val="24"/>
        <w:b w:val="false"/>
        <w:szCs w:val="24"/>
        <w:bCs w:val="fals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/>
    </w:lvl>
  </w:abstractNum>
  <w:abstractNum w:abstractNumId="28">
    <w:lvl w:ilvl="0">
      <w:start w:val="1"/>
      <w:numFmt w:val="bullet"/>
      <w:lvlText w:val="o"/>
      <w:lvlJc w:val="left"/>
      <w:pPr>
        <w:tabs>
          <w:tab w:val="num" w:pos="0"/>
        </w:tabs>
        <w:ind w:left="1004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2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</w:numbering>
</file>

<file path=word/settings.xml><?xml version="1.0" encoding="utf-8"?>
<w:settings xmlns:w="http://schemas.openxmlformats.org/wordprocessingml/2006/main">
  <w:zoom w:percent="140"/>
  <w:embedSystemFonts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lock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5772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ar-SA" w:bidi="ar-SA"/>
    </w:rPr>
  </w:style>
  <w:style w:type="paragraph" w:styleId="Heading1">
    <w:name w:val="Heading 1"/>
    <w:basedOn w:val="Normal"/>
    <w:next w:val="BodyText"/>
    <w:link w:val="Nagwek1Znak"/>
    <w:uiPriority w:val="99"/>
    <w:qFormat/>
    <w:rsid w:val="0045772c"/>
    <w:pPr>
      <w:keepNext w:val="true"/>
      <w:numPr>
        <w:ilvl w:val="0"/>
        <w:numId w:val="1"/>
      </w:numPr>
      <w:ind w:firstLine="6660" w:left="0"/>
      <w:jc w:val="center"/>
      <w:outlineLvl w:val="0"/>
    </w:pPr>
    <w:rPr>
      <w:rFonts w:ascii="Arial" w:hAnsi="Arial" w:cs="Arial"/>
      <w:sz w:val="18"/>
      <w:szCs w:val="18"/>
      <w:u w:val="single"/>
    </w:rPr>
  </w:style>
  <w:style w:type="paragraph" w:styleId="Heading2">
    <w:name w:val="Heading 2"/>
    <w:basedOn w:val="Normal"/>
    <w:next w:val="BodyText"/>
    <w:link w:val="Nagwek2Znak"/>
    <w:uiPriority w:val="99"/>
    <w:qFormat/>
    <w:rsid w:val="0045772c"/>
    <w:pPr>
      <w:keepNext w:val="true"/>
      <w:tabs>
        <w:tab w:val="clear" w:pos="709"/>
        <w:tab w:val="left" w:pos="432" w:leader="none"/>
      </w:tabs>
      <w:ind w:hanging="432" w:left="432"/>
      <w:jc w:val="right"/>
      <w:outlineLvl w:val="1"/>
    </w:pPr>
    <w:rPr>
      <w:b/>
      <w:bCs/>
    </w:rPr>
  </w:style>
  <w:style w:type="paragraph" w:styleId="Heading3">
    <w:name w:val="Heading 3"/>
    <w:next w:val="BodyText"/>
    <w:link w:val="Nagwek3Znak"/>
    <w:uiPriority w:val="99"/>
    <w:qFormat/>
    <w:rsid w:val="0045772c"/>
    <w:pPr>
      <w:widowControl w:val="false"/>
      <w:tabs>
        <w:tab w:val="clear" w:pos="709"/>
        <w:tab w:val="left" w:pos="432" w:leader="none"/>
      </w:tabs>
      <w:suppressAutoHyphens w:val="true"/>
      <w:bidi w:val="0"/>
      <w:spacing w:before="0" w:after="0"/>
      <w:ind w:hanging="432" w:left="432"/>
      <w:jc w:val="left"/>
      <w:outlineLvl w:val="2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2"/>
      <w:lang w:val="pl-PL" w:eastAsia="pl-PL" w:bidi="ar-SA"/>
    </w:rPr>
  </w:style>
  <w:style w:type="paragraph" w:styleId="Heading4">
    <w:name w:val="Heading 4"/>
    <w:basedOn w:val="Normal"/>
    <w:next w:val="Normal"/>
    <w:link w:val="Nagwek4Znak"/>
    <w:uiPriority w:val="99"/>
    <w:qFormat/>
    <w:rsid w:val="00384022"/>
    <w:pPr>
      <w:keepNext w:val="true"/>
      <w:keepLines/>
      <w:spacing w:before="40" w:after="0"/>
      <w:outlineLvl w:val="3"/>
    </w:pPr>
    <w:rPr>
      <w:rFonts w:ascii="Calibri Light" w:hAnsi="Calibri Light" w:cs="Calibri Light"/>
      <w:i/>
      <w:iCs/>
      <w:color w:val="2E74B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0f3da6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ar-SA"/>
    </w:rPr>
  </w:style>
  <w:style w:type="character" w:styleId="Nagwek2Znak" w:customStyle="1">
    <w:name w:val="Nagłówek 2 Znak"/>
    <w:basedOn w:val="DefaultParagraphFont"/>
    <w:uiPriority w:val="9"/>
    <w:semiHidden/>
    <w:qFormat/>
    <w:rsid w:val="000f3da6"/>
    <w:rPr>
      <w:rFonts w:ascii="Cambria" w:hAnsi="Cambria" w:eastAsia="" w:cs="" w:asciiTheme="majorHAnsi" w:cstheme="majorBidi" w:eastAsiaTheme="majorEastAsia" w:hAnsiTheme="majorHAnsi"/>
      <w:b/>
      <w:bCs/>
      <w:i/>
      <w:iCs/>
      <w:kern w:val="2"/>
      <w:sz w:val="28"/>
      <w:szCs w:val="28"/>
      <w:lang w:eastAsia="ar-SA"/>
    </w:rPr>
  </w:style>
  <w:style w:type="character" w:styleId="Nagwek3Znak" w:customStyle="1">
    <w:name w:val="Nagłówek 3 Znak"/>
    <w:basedOn w:val="DefaultParagraphFont"/>
    <w:uiPriority w:val="9"/>
    <w:semiHidden/>
    <w:qFormat/>
    <w:rsid w:val="000f3da6"/>
    <w:rPr>
      <w:rFonts w:ascii="Cambria" w:hAnsi="Cambria" w:eastAsia="" w:cs="" w:asciiTheme="majorHAnsi" w:cstheme="majorBidi" w:eastAsiaTheme="majorEastAsia" w:hAnsiTheme="majorHAnsi"/>
      <w:b/>
      <w:bCs/>
      <w:kern w:val="2"/>
      <w:sz w:val="26"/>
      <w:szCs w:val="26"/>
      <w:lang w:eastAsia="ar-SA"/>
    </w:rPr>
  </w:style>
  <w:style w:type="character" w:styleId="Nagwek4Znak" w:customStyle="1">
    <w:name w:val="Nagłówek 4 Znak"/>
    <w:basedOn w:val="DefaultParagraphFont"/>
    <w:uiPriority w:val="99"/>
    <w:semiHidden/>
    <w:qFormat/>
    <w:locked/>
    <w:rsid w:val="00384022"/>
    <w:rPr>
      <w:rFonts w:ascii="Calibri Light" w:hAnsi="Calibri Light" w:cs="Calibri Light"/>
      <w:i/>
      <w:iCs/>
      <w:color w:val="2E74B5"/>
      <w:kern w:val="2"/>
      <w:sz w:val="24"/>
      <w:szCs w:val="24"/>
      <w:lang w:eastAsia="ar-SA" w:bidi="ar-SA"/>
    </w:rPr>
  </w:style>
  <w:style w:type="character" w:styleId="Domylnaczcionkaakapitu1" w:customStyle="1">
    <w:name w:val="Domyślna czcionka akapitu1"/>
    <w:uiPriority w:val="99"/>
    <w:qFormat/>
    <w:rsid w:val="0045772c"/>
    <w:rPr/>
  </w:style>
  <w:style w:type="character" w:styleId="WW8Num1z0" w:customStyle="1">
    <w:name w:val="WW8Num1z0"/>
    <w:uiPriority w:val="99"/>
    <w:qFormat/>
    <w:rsid w:val="0045772c"/>
    <w:rPr/>
  </w:style>
  <w:style w:type="character" w:styleId="WW8Num2z0" w:customStyle="1">
    <w:name w:val="WW8Num2z0"/>
    <w:uiPriority w:val="99"/>
    <w:qFormat/>
    <w:rsid w:val="0045772c"/>
    <w:rPr/>
  </w:style>
  <w:style w:type="character" w:styleId="WW8Num6z0" w:customStyle="1">
    <w:name w:val="WW8Num6z0"/>
    <w:uiPriority w:val="99"/>
    <w:qFormat/>
    <w:rsid w:val="0045772c"/>
    <w:rPr/>
  </w:style>
  <w:style w:type="character" w:styleId="WW8Num7z0" w:customStyle="1">
    <w:name w:val="WW8Num7z0"/>
    <w:uiPriority w:val="99"/>
    <w:qFormat/>
    <w:rsid w:val="0045772c"/>
    <w:rPr/>
  </w:style>
  <w:style w:type="character" w:styleId="WW8Num9z0" w:customStyle="1">
    <w:name w:val="WW8Num9z0"/>
    <w:uiPriority w:val="99"/>
    <w:qFormat/>
    <w:rsid w:val="0045772c"/>
    <w:rPr/>
  </w:style>
  <w:style w:type="character" w:styleId="WW8Num10z2" w:customStyle="1">
    <w:name w:val="WW8Num10z2"/>
    <w:uiPriority w:val="99"/>
    <w:qFormat/>
    <w:rsid w:val="0045772c"/>
    <w:rPr/>
  </w:style>
  <w:style w:type="character" w:styleId="WW8Num10z4" w:customStyle="1">
    <w:name w:val="WW8Num10z4"/>
    <w:uiPriority w:val="99"/>
    <w:qFormat/>
    <w:rsid w:val="0045772c"/>
    <w:rPr/>
  </w:style>
  <w:style w:type="character" w:styleId="WW8Num12z0" w:customStyle="1">
    <w:name w:val="WW8Num12z0"/>
    <w:uiPriority w:val="99"/>
    <w:qFormat/>
    <w:rsid w:val="0045772c"/>
    <w:rPr/>
  </w:style>
  <w:style w:type="character" w:styleId="WW8Num14z0" w:customStyle="1">
    <w:name w:val="WW8Num14z0"/>
    <w:uiPriority w:val="99"/>
    <w:qFormat/>
    <w:rsid w:val="0045772c"/>
    <w:rPr/>
  </w:style>
  <w:style w:type="character" w:styleId="WW8Num17z0" w:customStyle="1">
    <w:name w:val="WW8Num17z0"/>
    <w:uiPriority w:val="99"/>
    <w:qFormat/>
    <w:rsid w:val="0045772c"/>
    <w:rPr/>
  </w:style>
  <w:style w:type="character" w:styleId="WW8Num18z0" w:customStyle="1">
    <w:name w:val="WW8Num18z0"/>
    <w:uiPriority w:val="99"/>
    <w:qFormat/>
    <w:rsid w:val="0045772c"/>
    <w:rPr/>
  </w:style>
  <w:style w:type="character" w:styleId="WW8Num19z0" w:customStyle="1">
    <w:name w:val="WW8Num19z0"/>
    <w:uiPriority w:val="99"/>
    <w:qFormat/>
    <w:rsid w:val="0045772c"/>
    <w:rPr/>
  </w:style>
  <w:style w:type="character" w:styleId="WW8Num20z0" w:customStyle="1">
    <w:name w:val="WW8Num20z0"/>
    <w:uiPriority w:val="99"/>
    <w:qFormat/>
    <w:rsid w:val="0045772c"/>
    <w:rPr/>
  </w:style>
  <w:style w:type="character" w:styleId="WW8Num21z0" w:customStyle="1">
    <w:name w:val="WW8Num21z0"/>
    <w:uiPriority w:val="99"/>
    <w:qFormat/>
    <w:rsid w:val="0045772c"/>
    <w:rPr/>
  </w:style>
  <w:style w:type="character" w:styleId="WW8Num22z0" w:customStyle="1">
    <w:name w:val="WW8Num22z0"/>
    <w:uiPriority w:val="99"/>
    <w:qFormat/>
    <w:rsid w:val="0045772c"/>
    <w:rPr/>
  </w:style>
  <w:style w:type="character" w:styleId="WW8Num25z0" w:customStyle="1">
    <w:name w:val="WW8Num25z0"/>
    <w:uiPriority w:val="99"/>
    <w:qFormat/>
    <w:rsid w:val="0045772c"/>
    <w:rPr/>
  </w:style>
  <w:style w:type="character" w:styleId="WW8Num27z0" w:customStyle="1">
    <w:name w:val="WW8Num27z0"/>
    <w:uiPriority w:val="99"/>
    <w:qFormat/>
    <w:rsid w:val="0045772c"/>
    <w:rPr/>
  </w:style>
  <w:style w:type="character" w:styleId="WW8Num27z3" w:customStyle="1">
    <w:name w:val="WW8Num27z3"/>
    <w:uiPriority w:val="99"/>
    <w:qFormat/>
    <w:rsid w:val="0045772c"/>
    <w:rPr/>
  </w:style>
  <w:style w:type="character" w:styleId="WW8Num31z0" w:customStyle="1">
    <w:name w:val="WW8Num31z0"/>
    <w:uiPriority w:val="99"/>
    <w:qFormat/>
    <w:rsid w:val="0045772c"/>
    <w:rPr/>
  </w:style>
  <w:style w:type="character" w:styleId="WW8Num32z0" w:customStyle="1">
    <w:name w:val="WW8Num32z0"/>
    <w:uiPriority w:val="99"/>
    <w:qFormat/>
    <w:rsid w:val="0045772c"/>
    <w:rPr/>
  </w:style>
  <w:style w:type="character" w:styleId="WW8Num34z0" w:customStyle="1">
    <w:name w:val="WW8Num34z0"/>
    <w:uiPriority w:val="99"/>
    <w:qFormat/>
    <w:rsid w:val="0045772c"/>
    <w:rPr/>
  </w:style>
  <w:style w:type="character" w:styleId="WW8Num34z1" w:customStyle="1">
    <w:name w:val="WW8Num34z1"/>
    <w:uiPriority w:val="99"/>
    <w:qFormat/>
    <w:rsid w:val="0045772c"/>
    <w:rPr/>
  </w:style>
  <w:style w:type="character" w:styleId="WW8Num36z0" w:customStyle="1">
    <w:name w:val="WW8Num36z0"/>
    <w:uiPriority w:val="99"/>
    <w:qFormat/>
    <w:rsid w:val="0045772c"/>
    <w:rPr/>
  </w:style>
  <w:style w:type="character" w:styleId="WW8Num38z0" w:customStyle="1">
    <w:name w:val="WW8Num38z0"/>
    <w:uiPriority w:val="99"/>
    <w:qFormat/>
    <w:rsid w:val="0045772c"/>
    <w:rPr/>
  </w:style>
  <w:style w:type="character" w:styleId="WW8Num40z0" w:customStyle="1">
    <w:name w:val="WW8Num40z0"/>
    <w:uiPriority w:val="99"/>
    <w:qFormat/>
    <w:rsid w:val="0045772c"/>
    <w:rPr/>
  </w:style>
  <w:style w:type="character" w:styleId="WW8Num41z0" w:customStyle="1">
    <w:name w:val="WW8Num41z0"/>
    <w:uiPriority w:val="99"/>
    <w:qFormat/>
    <w:rsid w:val="0045772c"/>
    <w:rPr/>
  </w:style>
  <w:style w:type="character" w:styleId="WW8Num41z4" w:customStyle="1">
    <w:name w:val="WW8Num41z4"/>
    <w:uiPriority w:val="99"/>
    <w:qFormat/>
    <w:rsid w:val="0045772c"/>
    <w:rPr/>
  </w:style>
  <w:style w:type="character" w:styleId="WW8Num43z0" w:customStyle="1">
    <w:name w:val="WW8Num43z0"/>
    <w:uiPriority w:val="99"/>
    <w:qFormat/>
    <w:rsid w:val="0045772c"/>
    <w:rPr/>
  </w:style>
  <w:style w:type="character" w:styleId="Absatz-Standardschriftart" w:customStyle="1">
    <w:name w:val="Absatz-Standardschriftart"/>
    <w:uiPriority w:val="99"/>
    <w:qFormat/>
    <w:rsid w:val="0045772c"/>
    <w:rPr/>
  </w:style>
  <w:style w:type="character" w:styleId="WW8Num11z0" w:customStyle="1">
    <w:name w:val="WW8Num11z0"/>
    <w:uiPriority w:val="99"/>
    <w:qFormat/>
    <w:rsid w:val="0045772c"/>
    <w:rPr/>
  </w:style>
  <w:style w:type="character" w:styleId="WW8Num13z0" w:customStyle="1">
    <w:name w:val="WW8Num13z0"/>
    <w:uiPriority w:val="99"/>
    <w:qFormat/>
    <w:rsid w:val="0045772c"/>
    <w:rPr/>
  </w:style>
  <w:style w:type="character" w:styleId="WW8Num15z0" w:customStyle="1">
    <w:name w:val="WW8Num15z0"/>
    <w:uiPriority w:val="99"/>
    <w:qFormat/>
    <w:rsid w:val="0045772c"/>
    <w:rPr/>
  </w:style>
  <w:style w:type="character" w:styleId="WW8Num23z0" w:customStyle="1">
    <w:name w:val="WW8Num23z0"/>
    <w:uiPriority w:val="99"/>
    <w:qFormat/>
    <w:rsid w:val="0045772c"/>
    <w:rPr/>
  </w:style>
  <w:style w:type="character" w:styleId="WW8Num29z0" w:customStyle="1">
    <w:name w:val="WW8Num29z0"/>
    <w:uiPriority w:val="99"/>
    <w:qFormat/>
    <w:rsid w:val="0045772c"/>
    <w:rPr/>
  </w:style>
  <w:style w:type="character" w:styleId="WW8Num29z3" w:customStyle="1">
    <w:name w:val="WW8Num29z3"/>
    <w:uiPriority w:val="99"/>
    <w:qFormat/>
    <w:rsid w:val="0045772c"/>
    <w:rPr/>
  </w:style>
  <w:style w:type="character" w:styleId="WW8Num33z0" w:customStyle="1">
    <w:name w:val="WW8Num33z0"/>
    <w:uiPriority w:val="99"/>
    <w:qFormat/>
    <w:rsid w:val="0045772c"/>
    <w:rPr/>
  </w:style>
  <w:style w:type="character" w:styleId="WW8Num36z1" w:customStyle="1">
    <w:name w:val="WW8Num36z1"/>
    <w:uiPriority w:val="99"/>
    <w:qFormat/>
    <w:rsid w:val="0045772c"/>
    <w:rPr/>
  </w:style>
  <w:style w:type="character" w:styleId="WW8Num42z0" w:customStyle="1">
    <w:name w:val="WW8Num42z0"/>
    <w:uiPriority w:val="99"/>
    <w:qFormat/>
    <w:rsid w:val="0045772c"/>
    <w:rPr/>
  </w:style>
  <w:style w:type="character" w:styleId="WW8Num43z4" w:customStyle="1">
    <w:name w:val="WW8Num43z4"/>
    <w:uiPriority w:val="99"/>
    <w:qFormat/>
    <w:rsid w:val="0045772c"/>
    <w:rPr/>
  </w:style>
  <w:style w:type="character" w:styleId="WW-Absatz-Standardschriftart" w:customStyle="1">
    <w:name w:val="WW-Absatz-Standardschriftart"/>
    <w:uiPriority w:val="99"/>
    <w:qFormat/>
    <w:rsid w:val="0045772c"/>
    <w:rPr/>
  </w:style>
  <w:style w:type="character" w:styleId="WW-Absatz-Standardschriftart1" w:customStyle="1">
    <w:name w:val="WW-Absatz-Standardschriftart1"/>
    <w:uiPriority w:val="99"/>
    <w:qFormat/>
    <w:rsid w:val="0045772c"/>
    <w:rPr/>
  </w:style>
  <w:style w:type="character" w:styleId="WW-Absatz-Standardschriftart11" w:customStyle="1">
    <w:name w:val="WW-Absatz-Standardschriftart11"/>
    <w:uiPriority w:val="99"/>
    <w:qFormat/>
    <w:rsid w:val="0045772c"/>
    <w:rPr/>
  </w:style>
  <w:style w:type="character" w:styleId="WW8Num1z1" w:customStyle="1">
    <w:name w:val="WW8Num1z1"/>
    <w:uiPriority w:val="99"/>
    <w:qFormat/>
    <w:rsid w:val="0045772c"/>
    <w:rPr/>
  </w:style>
  <w:style w:type="character" w:styleId="WW8Num4z0" w:customStyle="1">
    <w:name w:val="WW8Num4z0"/>
    <w:uiPriority w:val="99"/>
    <w:qFormat/>
    <w:rsid w:val="0045772c"/>
    <w:rPr/>
  </w:style>
  <w:style w:type="character" w:styleId="WW8Num8z0" w:customStyle="1">
    <w:name w:val="WW8Num8z0"/>
    <w:uiPriority w:val="99"/>
    <w:qFormat/>
    <w:rsid w:val="0045772c"/>
    <w:rPr/>
  </w:style>
  <w:style w:type="character" w:styleId="WW8Num13z2" w:customStyle="1">
    <w:name w:val="WW8Num13z2"/>
    <w:uiPriority w:val="99"/>
    <w:qFormat/>
    <w:rsid w:val="0045772c"/>
    <w:rPr/>
  </w:style>
  <w:style w:type="character" w:styleId="WW8Num13z4" w:customStyle="1">
    <w:name w:val="WW8Num13z4"/>
    <w:uiPriority w:val="99"/>
    <w:qFormat/>
    <w:rsid w:val="0045772c"/>
    <w:rPr/>
  </w:style>
  <w:style w:type="character" w:styleId="WW8Num14z1" w:customStyle="1">
    <w:name w:val="WW8Num14z1"/>
    <w:uiPriority w:val="99"/>
    <w:qFormat/>
    <w:rsid w:val="0045772c"/>
    <w:rPr/>
  </w:style>
  <w:style w:type="character" w:styleId="WW8Num16z0" w:customStyle="1">
    <w:name w:val="WW8Num16z0"/>
    <w:uiPriority w:val="99"/>
    <w:qFormat/>
    <w:rsid w:val="0045772c"/>
    <w:rPr/>
  </w:style>
  <w:style w:type="character" w:styleId="WW8Num24z0" w:customStyle="1">
    <w:name w:val="WW8Num24z0"/>
    <w:uiPriority w:val="99"/>
    <w:qFormat/>
    <w:rsid w:val="0045772c"/>
    <w:rPr/>
  </w:style>
  <w:style w:type="character" w:styleId="WW8Num26z0" w:customStyle="1">
    <w:name w:val="WW8Num26z0"/>
    <w:uiPriority w:val="99"/>
    <w:qFormat/>
    <w:rsid w:val="0045772c"/>
    <w:rPr/>
  </w:style>
  <w:style w:type="character" w:styleId="WW8Num33z3" w:customStyle="1">
    <w:name w:val="WW8Num33z3"/>
    <w:uiPriority w:val="99"/>
    <w:qFormat/>
    <w:rsid w:val="0045772c"/>
    <w:rPr/>
  </w:style>
  <w:style w:type="character" w:styleId="WW8Num37z0" w:customStyle="1">
    <w:name w:val="WW8Num37z0"/>
    <w:uiPriority w:val="99"/>
    <w:qFormat/>
    <w:rsid w:val="0045772c"/>
    <w:rPr/>
  </w:style>
  <w:style w:type="character" w:styleId="WW8Num40z1" w:customStyle="1">
    <w:name w:val="WW8Num40z1"/>
    <w:uiPriority w:val="99"/>
    <w:qFormat/>
    <w:rsid w:val="0045772c"/>
    <w:rPr/>
  </w:style>
  <w:style w:type="character" w:styleId="WW8Num44z0" w:customStyle="1">
    <w:name w:val="WW8Num44z0"/>
    <w:uiPriority w:val="99"/>
    <w:qFormat/>
    <w:rsid w:val="0045772c"/>
    <w:rPr/>
  </w:style>
  <w:style w:type="character" w:styleId="WW8Num46z0" w:customStyle="1">
    <w:name w:val="WW8Num46z0"/>
    <w:uiPriority w:val="99"/>
    <w:qFormat/>
    <w:rsid w:val="0045772c"/>
    <w:rPr/>
  </w:style>
  <w:style w:type="character" w:styleId="WW8Num47z0" w:customStyle="1">
    <w:name w:val="WW8Num47z0"/>
    <w:uiPriority w:val="99"/>
    <w:qFormat/>
    <w:rsid w:val="0045772c"/>
    <w:rPr/>
  </w:style>
  <w:style w:type="character" w:styleId="WW8Num47z4" w:customStyle="1">
    <w:name w:val="WW8Num47z4"/>
    <w:uiPriority w:val="99"/>
    <w:qFormat/>
    <w:rsid w:val="0045772c"/>
    <w:rPr/>
  </w:style>
  <w:style w:type="character" w:styleId="Numerstrony1" w:customStyle="1">
    <w:name w:val="Numer strony1"/>
    <w:basedOn w:val="Domylnaczcionkaakapitu1"/>
    <w:uiPriority w:val="99"/>
    <w:qFormat/>
    <w:rsid w:val="0045772c"/>
    <w:rPr/>
  </w:style>
  <w:style w:type="character" w:styleId="Znakiprzypiswdolnych" w:customStyle="1">
    <w:name w:val="Znaki przypisów dolnych"/>
    <w:uiPriority w:val="99"/>
    <w:qFormat/>
    <w:rsid w:val="0045772c"/>
    <w:rPr>
      <w:vertAlign w:val="superscript"/>
    </w:rPr>
  </w:style>
  <w:style w:type="character" w:styleId="Hyperlink" w:customStyle="1">
    <w:name w:val="Hyperlink"/>
    <w:basedOn w:val="DefaultParagraphFont"/>
    <w:uiPriority w:val="99"/>
    <w:rsid w:val="0045772c"/>
    <w:rPr>
      <w:dstrike/>
      <w:color w:val="0000FF"/>
      <w:u w:val="none"/>
    </w:rPr>
  </w:style>
  <w:style w:type="character" w:styleId="Symbolewypunktowania" w:customStyle="1">
    <w:name w:val="Symbole wypunktowania"/>
    <w:uiPriority w:val="99"/>
    <w:qFormat/>
    <w:rsid w:val="0045772c"/>
    <w:rPr>
      <w:rFonts w:ascii="OpenSymbol" w:hAnsi="OpenSymbol" w:eastAsia="Times New Roman" w:cs="OpenSymbol"/>
    </w:rPr>
  </w:style>
  <w:style w:type="character" w:styleId="WW8Num94z1" w:customStyle="1">
    <w:name w:val="WW8Num94z1"/>
    <w:uiPriority w:val="99"/>
    <w:qFormat/>
    <w:rsid w:val="0045772c"/>
    <w:rPr/>
  </w:style>
  <w:style w:type="character" w:styleId="TekstpodstawowyZnak" w:customStyle="1">
    <w:name w:val="Tekst podstawowy Znak"/>
    <w:basedOn w:val="DefaultParagraphFont"/>
    <w:uiPriority w:val="99"/>
    <w:qFormat/>
    <w:locked/>
    <w:rsid w:val="00346344"/>
    <w:rPr>
      <w:kern w:val="2"/>
      <w:sz w:val="24"/>
      <w:szCs w:val="24"/>
      <w:lang w:eastAsia="ar-SA" w:bidi="ar-SA"/>
    </w:rPr>
  </w:style>
  <w:style w:type="character" w:styleId="TytuZnak" w:customStyle="1">
    <w:name w:val="Tytuł Znak"/>
    <w:basedOn w:val="DefaultParagraphFont"/>
    <w:uiPriority w:val="10"/>
    <w:qFormat/>
    <w:rsid w:val="000f3da6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ar-SA"/>
    </w:rPr>
  </w:style>
  <w:style w:type="character" w:styleId="PodtytuZnak" w:customStyle="1">
    <w:name w:val="Podtytuł Znak"/>
    <w:basedOn w:val="DefaultParagraphFont"/>
    <w:uiPriority w:val="11"/>
    <w:qFormat/>
    <w:rsid w:val="000f3da6"/>
    <w:rPr>
      <w:rFonts w:ascii="Cambria" w:hAnsi="Cambria" w:eastAsia="" w:cs="" w:asciiTheme="majorHAnsi" w:cstheme="majorBidi" w:eastAsiaTheme="majorEastAsia" w:hAnsiTheme="majorHAnsi"/>
      <w:kern w:val="2"/>
      <w:sz w:val="24"/>
      <w:szCs w:val="24"/>
      <w:lang w:eastAsia="ar-SA"/>
    </w:rPr>
  </w:style>
  <w:style w:type="character" w:styleId="TekstpodstawowywcityZnak" w:customStyle="1">
    <w:name w:val="Tekst podstawowy wcięty Znak"/>
    <w:basedOn w:val="DefaultParagraphFont"/>
    <w:uiPriority w:val="99"/>
    <w:semiHidden/>
    <w:qFormat/>
    <w:rsid w:val="000f3da6"/>
    <w:rPr>
      <w:kern w:val="2"/>
      <w:sz w:val="24"/>
      <w:szCs w:val="24"/>
      <w:lang w:eastAsia="ar-SA"/>
    </w:rPr>
  </w:style>
  <w:style w:type="character" w:styleId="StopkaZnak" w:customStyle="1">
    <w:name w:val="Stopka Znak"/>
    <w:basedOn w:val="DefaultParagraphFont"/>
    <w:uiPriority w:val="99"/>
    <w:qFormat/>
    <w:locked/>
    <w:rsid w:val="001665d9"/>
    <w:rPr>
      <w:kern w:val="2"/>
      <w:sz w:val="24"/>
      <w:szCs w:val="24"/>
      <w:lang w:eastAsia="ar-SA" w:bidi="ar-SA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0f3da6"/>
    <w:rPr>
      <w:kern w:val="2"/>
      <w:sz w:val="20"/>
      <w:szCs w:val="20"/>
      <w:lang w:eastAsia="ar-SA"/>
    </w:rPr>
  </w:style>
  <w:style w:type="character" w:styleId="NagwekZnak" w:customStyle="1">
    <w:name w:val="Nagłówek Znak"/>
    <w:basedOn w:val="DefaultParagraphFont"/>
    <w:uiPriority w:val="99"/>
    <w:semiHidden/>
    <w:qFormat/>
    <w:rsid w:val="000f3da6"/>
    <w:rPr>
      <w:kern w:val="2"/>
      <w:sz w:val="24"/>
      <w:szCs w:val="24"/>
      <w:lang w:eastAsia="ar-SA"/>
    </w:rPr>
  </w:style>
  <w:style w:type="character" w:styleId="TekstdymkaZnak" w:customStyle="1">
    <w:name w:val="Tekst dymka Znak"/>
    <w:basedOn w:val="DefaultParagraphFont"/>
    <w:link w:val="BalloonText"/>
    <w:uiPriority w:val="99"/>
    <w:qFormat/>
    <w:locked/>
    <w:rsid w:val="00c136bd"/>
    <w:rPr>
      <w:rFonts w:ascii="Tahoma" w:hAnsi="Tahoma" w:cs="Tahoma"/>
      <w:kern w:val="2"/>
      <w:sz w:val="16"/>
      <w:szCs w:val="16"/>
      <w:lang w:eastAsia="ar-SA" w:bidi="ar-SA"/>
    </w:rPr>
  </w:style>
  <w:style w:type="character" w:styleId="Annotationreference">
    <w:name w:val="annotation reference"/>
    <w:basedOn w:val="DefaultParagraphFont"/>
    <w:uiPriority w:val="99"/>
    <w:semiHidden/>
    <w:qFormat/>
    <w:rsid w:val="00505f2c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qFormat/>
    <w:locked/>
    <w:rsid w:val="00505f2c"/>
    <w:rPr>
      <w:kern w:val="2"/>
      <w:lang w:eastAsia="ar-SA" w:bidi="ar-SA"/>
    </w:rPr>
  </w:style>
  <w:style w:type="character" w:styleId="TematkomentarzaZnak" w:customStyle="1">
    <w:name w:val="Temat komentarza Znak"/>
    <w:basedOn w:val="TekstkomentarzaZnak"/>
    <w:link w:val="Annotationsubject"/>
    <w:uiPriority w:val="99"/>
    <w:qFormat/>
    <w:locked/>
    <w:rsid w:val="00505f2c"/>
    <w:rPr>
      <w:b/>
      <w:bCs/>
      <w:kern w:val="2"/>
      <w:lang w:eastAsia="ar-SA" w:bidi="ar-SA"/>
    </w:rPr>
  </w:style>
  <w:style w:type="character" w:styleId="FontStyle114" w:customStyle="1">
    <w:name w:val="Font Style114"/>
    <w:uiPriority w:val="99"/>
    <w:qFormat/>
    <w:rsid w:val="002004ad"/>
    <w:rPr>
      <w:rFonts w:ascii="Times New Roman" w:hAnsi="Times New Roman" w:cs="Times New Roman"/>
      <w:sz w:val="22"/>
      <w:szCs w:val="22"/>
    </w:rPr>
  </w:style>
  <w:style w:type="character" w:styleId="TekstprzypisukocowegoZnak" w:customStyle="1">
    <w:name w:val="Tekst przypisu końcowego Znak"/>
    <w:basedOn w:val="DefaultParagraphFont"/>
    <w:uiPriority w:val="99"/>
    <w:qFormat/>
    <w:locked/>
    <w:rsid w:val="0049787f"/>
    <w:rPr>
      <w:kern w:val="2"/>
      <w:lang w:val="pl-PL" w:eastAsia="ar-SA" w:bidi="ar-SA"/>
    </w:rPr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basedOn w:val="DefaultParagraphFont"/>
    <w:uiPriority w:val="99"/>
    <w:semiHidden/>
    <w:qFormat/>
    <w:rsid w:val="0049787f"/>
    <w:rPr>
      <w:vertAlign w:val="superscript"/>
    </w:rPr>
  </w:style>
  <w:style w:type="character" w:styleId="Strong">
    <w:name w:val="Strong"/>
    <w:basedOn w:val="DefaultParagraphFont"/>
    <w:uiPriority w:val="99"/>
    <w:qFormat/>
    <w:rsid w:val="00da6f55"/>
    <w:rPr>
      <w:b/>
      <w:bCs/>
    </w:rPr>
  </w:style>
  <w:style w:type="character" w:styleId="FontStyle98" w:customStyle="1">
    <w:name w:val="Font Style98"/>
    <w:uiPriority w:val="99"/>
    <w:qFormat/>
    <w:rsid w:val="00e008d1"/>
    <w:rPr>
      <w:rFonts w:ascii="Times New Roman" w:hAnsi="Times New Roman" w:cs="Times New Roman"/>
      <w:sz w:val="18"/>
      <w:szCs w:val="18"/>
    </w:rPr>
  </w:style>
  <w:style w:type="character" w:styleId="Alb" w:customStyle="1">
    <w:name w:val="a_lb"/>
    <w:uiPriority w:val="99"/>
    <w:qFormat/>
    <w:rsid w:val="00a310e5"/>
    <w:rPr/>
  </w:style>
  <w:style w:type="character" w:styleId="Emphasis" w:customStyle="1">
    <w:name w:val="Emphasis"/>
    <w:basedOn w:val="DefaultParagraphFont"/>
    <w:uiPriority w:val="99"/>
    <w:qFormat/>
    <w:rsid w:val="00a310e5"/>
    <w:rPr>
      <w:i/>
      <w:iCs/>
    </w:rPr>
  </w:style>
  <w:style w:type="character" w:styleId="Item-fieldvalue" w:customStyle="1">
    <w:name w:val="item-fieldvalue"/>
    <w:basedOn w:val="DefaultParagraphFont"/>
    <w:uiPriority w:val="99"/>
    <w:qFormat/>
    <w:rsid w:val="001728ee"/>
    <w:rPr/>
  </w:style>
  <w:style w:type="character" w:styleId="Item-fieldname" w:customStyle="1">
    <w:name w:val="item-fieldname"/>
    <w:basedOn w:val="DefaultParagraphFont"/>
    <w:uiPriority w:val="99"/>
    <w:qFormat/>
    <w:rsid w:val="001728ee"/>
    <w:rPr/>
  </w:style>
  <w:style w:type="character" w:styleId="Tekstpodstawowy2Znak" w:customStyle="1">
    <w:name w:val="Tekst podstawowy 2 Znak"/>
    <w:basedOn w:val="DefaultParagraphFont"/>
    <w:link w:val="BodyText2"/>
    <w:uiPriority w:val="99"/>
    <w:qFormat/>
    <w:locked/>
    <w:rsid w:val="00b3052d"/>
    <w:rPr>
      <w:sz w:val="24"/>
      <w:szCs w:val="24"/>
      <w:lang w:eastAsia="ar-SA" w:bidi="ar-SA"/>
    </w:rPr>
  </w:style>
  <w:style w:type="character" w:styleId="Apple-tab-span" w:customStyle="1">
    <w:name w:val="apple-tab-span"/>
    <w:basedOn w:val="DefaultParagraphFont"/>
    <w:uiPriority w:val="99"/>
    <w:qFormat/>
    <w:rsid w:val="0029176d"/>
    <w:rPr/>
  </w:style>
  <w:style w:type="character" w:styleId="Font" w:customStyle="1">
    <w:name w:val="font"/>
    <w:basedOn w:val="DefaultParagraphFont"/>
    <w:uiPriority w:val="99"/>
    <w:qFormat/>
    <w:rsid w:val="00f07e7b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link w:val="TekstpodstawowyZnak"/>
    <w:uiPriority w:val="99"/>
    <w:rsid w:val="0045772c"/>
    <w:pPr>
      <w:jc w:val="center"/>
    </w:pPr>
    <w:rPr/>
  </w:style>
  <w:style w:type="paragraph" w:styleId="List">
    <w:name w:val="List"/>
    <w:basedOn w:val="BodyText"/>
    <w:uiPriority w:val="99"/>
    <w:rsid w:val="0045772c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45772c"/>
    <w:pPr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uiPriority w:val="99"/>
    <w:rsid w:val="0045772c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agwek1" w:customStyle="1">
    <w:name w:val="Nagłówek1"/>
    <w:basedOn w:val="Normal"/>
    <w:next w:val="BodyText"/>
    <w:uiPriority w:val="99"/>
    <w:qFormat/>
    <w:rsid w:val="0045772c"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Podpis1" w:customStyle="1">
    <w:name w:val="Podpis1"/>
    <w:basedOn w:val="Normal"/>
    <w:uiPriority w:val="99"/>
    <w:qFormat/>
    <w:rsid w:val="0045772c"/>
    <w:pPr>
      <w:suppressLineNumbers/>
      <w:spacing w:before="120" w:after="120"/>
    </w:pPr>
    <w:rPr>
      <w:i/>
      <w:iCs/>
    </w:rPr>
  </w:style>
  <w:style w:type="paragraph" w:styleId="Paragraf" w:customStyle="1">
    <w:name w:val="Paragraf"/>
    <w:basedOn w:val="Normal"/>
    <w:uiPriority w:val="99"/>
    <w:qFormat/>
    <w:rsid w:val="0045772c"/>
    <w:pPr/>
    <w:rPr/>
  </w:style>
  <w:style w:type="paragraph" w:styleId="Punkt" w:customStyle="1">
    <w:name w:val="Punkt"/>
    <w:basedOn w:val="Normal"/>
    <w:uiPriority w:val="99"/>
    <w:qFormat/>
    <w:rsid w:val="0045772c"/>
    <w:pPr/>
    <w:rPr/>
  </w:style>
  <w:style w:type="paragraph" w:styleId="Podpunkt" w:customStyle="1">
    <w:name w:val="Podpunkt"/>
    <w:basedOn w:val="Normal"/>
    <w:uiPriority w:val="99"/>
    <w:qFormat/>
    <w:rsid w:val="0045772c"/>
    <w:pPr/>
    <w:rPr/>
  </w:style>
  <w:style w:type="paragraph" w:styleId="Llitera" w:customStyle="1">
    <w:name w:val="Llitera"/>
    <w:basedOn w:val="Normal"/>
    <w:uiPriority w:val="99"/>
    <w:qFormat/>
    <w:rsid w:val="0045772c"/>
    <w:pPr/>
    <w:rPr/>
  </w:style>
  <w:style w:type="paragraph" w:styleId="Legenda1" w:customStyle="1">
    <w:name w:val="Legenda1"/>
    <w:basedOn w:val="Normal"/>
    <w:uiPriority w:val="99"/>
    <w:qFormat/>
    <w:rsid w:val="0045772c"/>
    <w:pPr/>
    <w:rPr/>
  </w:style>
  <w:style w:type="paragraph" w:styleId="Title">
    <w:name w:val="Title"/>
    <w:basedOn w:val="Normal"/>
    <w:next w:val="Subtitle"/>
    <w:link w:val="TytuZnak"/>
    <w:uiPriority w:val="99"/>
    <w:qFormat/>
    <w:rsid w:val="0045772c"/>
    <w:pPr>
      <w:jc w:val="center"/>
    </w:pPr>
    <w:rPr>
      <w:rFonts w:ascii="Arial" w:hAnsi="Arial" w:cs="Arial"/>
      <w:b/>
      <w:bCs/>
      <w:sz w:val="32"/>
      <w:szCs w:val="32"/>
    </w:rPr>
  </w:style>
  <w:style w:type="paragraph" w:styleId="Subtitle">
    <w:name w:val="Subtitle"/>
    <w:basedOn w:val="Normal"/>
    <w:next w:val="BodyText"/>
    <w:link w:val="PodtytuZnak"/>
    <w:uiPriority w:val="99"/>
    <w:qFormat/>
    <w:rsid w:val="0045772c"/>
    <w:pPr>
      <w:jc w:val="center"/>
    </w:pPr>
    <w:rPr>
      <w:b/>
      <w:bCs/>
      <w:i/>
      <w:iCs/>
      <w:sz w:val="28"/>
      <w:szCs w:val="28"/>
    </w:rPr>
  </w:style>
  <w:style w:type="paragraph" w:styleId="Tekstpodstawowy21" w:customStyle="1">
    <w:name w:val="Tekst podstawowy 21"/>
    <w:basedOn w:val="Normal"/>
    <w:uiPriority w:val="99"/>
    <w:qFormat/>
    <w:rsid w:val="0045772c"/>
    <w:pPr/>
    <w:rPr/>
  </w:style>
  <w:style w:type="paragraph" w:styleId="Tekstpodstawowywcity21" w:customStyle="1">
    <w:name w:val="Tekst podstawowy wcięty 21"/>
    <w:basedOn w:val="Normal"/>
    <w:uiPriority w:val="99"/>
    <w:qFormat/>
    <w:rsid w:val="0045772c"/>
    <w:pPr/>
    <w:rPr/>
  </w:style>
  <w:style w:type="paragraph" w:styleId="Tekstpodstawowy31" w:customStyle="1">
    <w:name w:val="Tekst podstawowy 31"/>
    <w:basedOn w:val="Normal"/>
    <w:uiPriority w:val="99"/>
    <w:qFormat/>
    <w:rsid w:val="0045772c"/>
    <w:pPr/>
    <w:rPr/>
  </w:style>
  <w:style w:type="paragraph" w:styleId="Tekstpodstawowywcity31" w:customStyle="1">
    <w:name w:val="Tekst podstawowy wcięty 31"/>
    <w:basedOn w:val="Normal"/>
    <w:uiPriority w:val="99"/>
    <w:qFormat/>
    <w:rsid w:val="0045772c"/>
    <w:pPr/>
    <w:rPr/>
  </w:style>
  <w:style w:type="paragraph" w:styleId="BodyTextIndent">
    <w:name w:val="Body Text Indent"/>
    <w:basedOn w:val="Normal"/>
    <w:link w:val="TekstpodstawowywcityZnak"/>
    <w:uiPriority w:val="99"/>
    <w:rsid w:val="0045772c"/>
    <w:pPr>
      <w:ind w:hanging="360" w:left="360"/>
      <w:jc w:val="both"/>
    </w:pPr>
    <w:rPr>
      <w:rFonts w:ascii="Arial" w:hAnsi="Arial" w:cs="Arial"/>
      <w:sz w:val="18"/>
      <w:szCs w:val="18"/>
    </w:rPr>
  </w:style>
  <w:style w:type="paragraph" w:styleId="Footer">
    <w:name w:val="Footer"/>
    <w:basedOn w:val="Normal"/>
    <w:link w:val="StopkaZnak"/>
    <w:uiPriority w:val="99"/>
    <w:rsid w:val="0045772c"/>
    <w:pPr>
      <w:suppressLineNumbers/>
      <w:tabs>
        <w:tab w:val="clear" w:pos="709"/>
        <w:tab w:val="center" w:pos="4536" w:leader="none"/>
        <w:tab w:val="right" w:pos="9072" w:leader="none"/>
      </w:tabs>
    </w:pPr>
    <w:rPr/>
  </w:style>
  <w:style w:type="paragraph" w:styleId="FootnoteText">
    <w:name w:val="Footnote Text"/>
    <w:basedOn w:val="Normal"/>
    <w:link w:val="TekstprzypisudolnegoZnak"/>
    <w:uiPriority w:val="99"/>
    <w:semiHidden/>
    <w:rsid w:val="0045772c"/>
    <w:pPr>
      <w:suppressLineNumbers/>
      <w:ind w:hanging="283" w:left="283"/>
    </w:pPr>
    <w:rPr>
      <w:sz w:val="20"/>
      <w:szCs w:val="20"/>
    </w:rPr>
  </w:style>
  <w:style w:type="paragraph" w:styleId="Tekstdymka1" w:customStyle="1">
    <w:name w:val="Tekst dymka1"/>
    <w:basedOn w:val="Normal"/>
    <w:uiPriority w:val="99"/>
    <w:qFormat/>
    <w:rsid w:val="0045772c"/>
    <w:pPr/>
    <w:rPr/>
  </w:style>
  <w:style w:type="paragraph" w:styleId="Zwykytekst1" w:customStyle="1">
    <w:name w:val="Zwykły tekst1"/>
    <w:basedOn w:val="Normal"/>
    <w:uiPriority w:val="99"/>
    <w:qFormat/>
    <w:rsid w:val="0045772c"/>
    <w:pPr/>
    <w:rPr/>
  </w:style>
  <w:style w:type="paragraph" w:styleId="Zawartoramki" w:customStyle="1">
    <w:name w:val="Zawartość ramki"/>
    <w:basedOn w:val="BodyText"/>
    <w:uiPriority w:val="99"/>
    <w:qFormat/>
    <w:rsid w:val="0045772c"/>
    <w:pPr/>
    <w:rPr/>
  </w:style>
  <w:style w:type="paragraph" w:styleId="Tekstpodstawowy311" w:customStyle="1">
    <w:name w:val="Tekst podstawowy 311"/>
    <w:basedOn w:val="Normal"/>
    <w:uiPriority w:val="99"/>
    <w:qFormat/>
    <w:rsid w:val="0045772c"/>
    <w:pPr/>
    <w:rPr/>
  </w:style>
  <w:style w:type="paragraph" w:styleId="Tekstparagrafu" w:customStyle="1">
    <w:name w:val="_Tekst paragrafu"/>
    <w:basedOn w:val="Normal"/>
    <w:uiPriority w:val="99"/>
    <w:qFormat/>
    <w:rsid w:val="00c641a1"/>
    <w:pPr>
      <w:suppressAutoHyphens w:val="false"/>
      <w:overflowPunct w:val="true"/>
      <w:jc w:val="both"/>
    </w:pPr>
    <w:rPr>
      <w:rFonts w:ascii="Verdana" w:hAnsi="Verdana" w:cs="Verdana"/>
      <w:kern w:val="0"/>
      <w:sz w:val="22"/>
      <w:szCs w:val="22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qFormat/>
    <w:rsid w:val="00c136bd"/>
    <w:pPr/>
    <w:rPr>
      <w:rFonts w:ascii="Tahoma" w:hAnsi="Tahoma" w:cs="Tahoma"/>
      <w:sz w:val="16"/>
      <w:szCs w:val="16"/>
    </w:rPr>
  </w:style>
  <w:style w:type="paragraph" w:styleId="Standard" w:customStyle="1">
    <w:name w:val="Standard"/>
    <w:uiPriority w:val="99"/>
    <w:qFormat/>
    <w:rsid w:val="00021640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pl-PL" w:bidi="ar-SA"/>
    </w:rPr>
  </w:style>
  <w:style w:type="paragraph" w:styleId="Annotationtext">
    <w:name w:val="annotation text"/>
    <w:basedOn w:val="Normal"/>
    <w:link w:val="TekstkomentarzaZnak"/>
    <w:uiPriority w:val="99"/>
    <w:semiHidden/>
    <w:qFormat/>
    <w:rsid w:val="00505f2c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qFormat/>
    <w:rsid w:val="00505f2c"/>
    <w:pPr/>
    <w:rPr>
      <w:b/>
      <w:bCs/>
    </w:rPr>
  </w:style>
  <w:style w:type="paragraph" w:styleId="EndnoteText">
    <w:name w:val="Endnote Text"/>
    <w:basedOn w:val="Normal"/>
    <w:link w:val="TekstprzypisukocowegoZnak"/>
    <w:uiPriority w:val="99"/>
    <w:semiHidden/>
    <w:rsid w:val="0049787f"/>
    <w:pPr/>
    <w:rPr>
      <w:sz w:val="20"/>
      <w:szCs w:val="20"/>
    </w:rPr>
  </w:style>
  <w:style w:type="paragraph" w:styleId="Style15" w:customStyle="1">
    <w:name w:val="Style15"/>
    <w:basedOn w:val="Normal"/>
    <w:uiPriority w:val="99"/>
    <w:qFormat/>
    <w:rsid w:val="004d455e"/>
    <w:pPr>
      <w:widowControl w:val="false"/>
      <w:suppressAutoHyphens w:val="false"/>
      <w:overflowPunct w:val="true"/>
      <w:spacing w:lineRule="exact" w:line="236"/>
      <w:ind w:hanging="274"/>
      <w:jc w:val="both"/>
    </w:pPr>
    <w:rPr>
      <w:kern w:val="0"/>
      <w:lang w:eastAsia="pl-PL"/>
    </w:rPr>
  </w:style>
  <w:style w:type="paragraph" w:styleId="ListParagraph">
    <w:name w:val="List Paragraph"/>
    <w:basedOn w:val="Normal"/>
    <w:uiPriority w:val="99"/>
    <w:qFormat/>
    <w:rsid w:val="00ab0022"/>
    <w:pPr>
      <w:ind w:left="720"/>
    </w:pPr>
    <w:rPr/>
  </w:style>
  <w:style w:type="paragraph" w:styleId="BodyText2">
    <w:name w:val="Body Text 2"/>
    <w:basedOn w:val="Normal"/>
    <w:link w:val="Tekstpodstawowy2Znak"/>
    <w:uiPriority w:val="99"/>
    <w:qFormat/>
    <w:rsid w:val="00b3052d"/>
    <w:pPr>
      <w:overflowPunct w:val="true"/>
      <w:spacing w:lineRule="auto" w:line="480" w:before="0" w:after="120"/>
    </w:pPr>
    <w:rPr>
      <w:kern w:val="0"/>
    </w:rPr>
  </w:style>
  <w:style w:type="paragraph" w:styleId="Default" w:customStyle="1">
    <w:name w:val="Default"/>
    <w:qFormat/>
    <w:rsid w:val="00b3052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PKTpunkt" w:customStyle="1">
    <w:name w:val="PKT – punkt"/>
    <w:uiPriority w:val="13"/>
    <w:qFormat/>
    <w:rsid w:val="00b3052d"/>
    <w:pPr>
      <w:widowControl/>
      <w:suppressAutoHyphens w:val="true"/>
      <w:bidi w:val="0"/>
      <w:spacing w:lineRule="auto" w:line="360" w:before="0" w:after="0"/>
      <w:ind w:hanging="510" w:left="510"/>
      <w:jc w:val="both"/>
    </w:pPr>
    <w:rPr>
      <w:rFonts w:ascii="Times" w:hAnsi="Times" w:eastAsia="Times New Roman" w:cs="Times"/>
      <w:color w:val="auto"/>
      <w:kern w:val="0"/>
      <w:sz w:val="24"/>
      <w:szCs w:val="24"/>
      <w:lang w:val="pl-PL" w:eastAsia="pl-PL" w:bidi="ar-SA"/>
    </w:rPr>
  </w:style>
  <w:style w:type="paragraph" w:styleId="LITlitera" w:customStyle="1">
    <w:name w:val="LIT – litera"/>
    <w:basedOn w:val="PKTpunkt"/>
    <w:uiPriority w:val="14"/>
    <w:qFormat/>
    <w:rsid w:val="00b3052d"/>
    <w:pPr>
      <w:ind w:hanging="476" w:left="986"/>
    </w:pPr>
    <w:rPr/>
  </w:style>
  <w:style w:type="paragraph" w:styleId="USTustnpkodeksu" w:customStyle="1">
    <w:name w:val="UST(§) – ust. (§ np. kodeksu)"/>
    <w:basedOn w:val="Normal"/>
    <w:uiPriority w:val="12"/>
    <w:qFormat/>
    <w:rsid w:val="00b3052d"/>
    <w:pPr>
      <w:overflowPunct w:val="true"/>
      <w:spacing w:lineRule="auto" w:line="360"/>
      <w:ind w:firstLine="510"/>
      <w:jc w:val="both"/>
    </w:pPr>
    <w:rPr>
      <w:rFonts w:ascii="Times" w:hAnsi="Times" w:cs="Times"/>
      <w:kern w:val="0"/>
      <w:lang w:eastAsia="pl-PL"/>
    </w:rPr>
  </w:style>
  <w:style w:type="paragraph" w:styleId="NormalWeb">
    <w:name w:val="Normal (Web)"/>
    <w:basedOn w:val="Normal"/>
    <w:uiPriority w:val="99"/>
    <w:semiHidden/>
    <w:qFormat/>
    <w:rsid w:val="0029176d"/>
    <w:pPr>
      <w:suppressAutoHyphens w:val="false"/>
      <w:overflowPunct w:val="true"/>
      <w:spacing w:beforeAutospacing="1" w:afterAutospacing="1"/>
    </w:pPr>
    <w:rPr>
      <w:kern w:val="0"/>
      <w:lang w:eastAsia="pl-PL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4" w:customStyle="1">
    <w:name w:val="WW8Num14"/>
    <w:qFormat/>
    <w:rsid w:val="000f3da6"/>
  </w:style>
  <w:style w:type="numbering" w:styleId="WW8Num42" w:customStyle="1">
    <w:name w:val="WW8Num42"/>
    <w:qFormat/>
    <w:rsid w:val="000f3da6"/>
  </w:style>
  <w:style w:type="numbering" w:styleId="WW8Num37" w:customStyle="1">
    <w:name w:val="WW8Num37"/>
    <w:qFormat/>
    <w:rsid w:val="000f3da6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9C411-9422-4991-B8F7-F1EDCD16F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Application>LibreOffice/7.6.2.1$Windows_X86_64 LibreOffice_project/56f7684011345957bbf33a7ee678afaf4d2ba333</Application>
  <AppVersion>15.0000</AppVersion>
  <Pages>13</Pages>
  <Words>4373</Words>
  <Characters>29267</Characters>
  <CharactersWithSpaces>33420</CharactersWithSpaces>
  <Paragraphs>187</Paragraphs>
  <Company>pwr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2023-12-20T10:18:00Z</dcterms:created>
  <dc:creator>Krzysztof Balcerek</dc:creator>
  <dc:description/>
  <dc:language>pl-PL</dc:language>
  <cp:lastModifiedBy/>
  <cp:lastPrinted>2024-04-16T10:43:33Z</cp:lastPrinted>
  <dcterms:modified xsi:type="dcterms:W3CDTF">2024-07-15T10:55:32Z</dcterms:modified>
  <cp:revision>24</cp:revision>
  <dc:subject/>
  <dc:title>UCHWAŁA NR XLVI/384/02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